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7.xml" ContentType="application/vnd.openxmlformats-officedocument.themeOverride+xml"/>
  <Override PartName="/word/charts/chart8.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8.xml" ContentType="application/vnd.openxmlformats-officedocument.themeOverride+xml"/>
  <Override PartName="/word/charts/chart9.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9.xml" ContentType="application/vnd.openxmlformats-officedocument.themeOverride+xml"/>
  <Override PartName="/word/charts/chart10.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10.xml" ContentType="application/vnd.openxmlformats-officedocument.themeOverride+xml"/>
  <Override PartName="/word/charts/chart11.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11.xml" ContentType="application/vnd.openxmlformats-officedocument.themeOverride+xml"/>
  <Override PartName="/word/charts/chart12.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12.xml" ContentType="application/vnd.openxmlformats-officedocument.themeOverride+xml"/>
  <Override PartName="/word/charts/chart13.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13.xml" ContentType="application/vnd.openxmlformats-officedocument.themeOverride+xml"/>
  <Override PartName="/word/charts/chart14.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14.xml" ContentType="application/vnd.openxmlformats-officedocument.themeOverride+xml"/>
  <Override PartName="/word/charts/chart15.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15.xml" ContentType="application/vnd.openxmlformats-officedocument.themeOverride+xml"/>
  <Override PartName="/word/charts/chart16.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16.xml" ContentType="application/vnd.openxmlformats-officedocument.themeOverride+xml"/>
  <Override PartName="/word/charts/chart17.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17.xml" ContentType="application/vnd.openxmlformats-officedocument.themeOverride+xml"/>
  <Override PartName="/word/charts/chart18.xml" ContentType="application/vnd.openxmlformats-officedocument.drawingml.chart+xml"/>
  <Override PartName="/word/charts/style16.xml" ContentType="application/vnd.ms-office.chartstyle+xml"/>
  <Override PartName="/word/charts/colors16.xml" ContentType="application/vnd.ms-office.chartcolorstyle+xml"/>
  <Override PartName="/word/theme/themeOverride18.xml" ContentType="application/vnd.openxmlformats-officedocument.themeOverride+xml"/>
  <Override PartName="/word/charts/chart19.xml" ContentType="application/vnd.openxmlformats-officedocument.drawingml.chart+xml"/>
  <Override PartName="/word/charts/style17.xml" ContentType="application/vnd.ms-office.chartstyle+xml"/>
  <Override PartName="/word/charts/colors17.xml" ContentType="application/vnd.ms-office.chartcolorstyle+xml"/>
  <Override PartName="/word/theme/themeOverride19.xml" ContentType="application/vnd.openxmlformats-officedocument.themeOverride+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A93BFCC" w14:textId="74DD92EB" w:rsidR="00204990" w:rsidRPr="001E77BC" w:rsidRDefault="00737028" w:rsidP="00266A4B">
      <w:pPr>
        <w:pStyle w:val="Title"/>
        <w:rPr>
          <w:sz w:val="36"/>
          <w:szCs w:val="36"/>
        </w:rPr>
      </w:pPr>
      <w:bookmarkStart w:id="0" w:name="_GoBack"/>
      <w:bookmarkEnd w:id="0"/>
      <w:r>
        <w:rPr>
          <w:sz w:val="36"/>
          <w:szCs w:val="36"/>
        </w:rPr>
        <w:t>April</w:t>
      </w:r>
      <w:r w:rsidR="001E77BC" w:rsidRPr="001E77BC">
        <w:rPr>
          <w:sz w:val="36"/>
          <w:szCs w:val="36"/>
        </w:rPr>
        <w:t xml:space="preserve"> 2018 update: </w:t>
      </w:r>
      <w:r w:rsidR="00530C7F" w:rsidRPr="001E77BC">
        <w:rPr>
          <w:sz w:val="36"/>
          <w:szCs w:val="36"/>
        </w:rPr>
        <w:t>Licensing authorities’ approach to</w:t>
      </w:r>
      <w:r w:rsidR="00422E66" w:rsidRPr="001E77BC">
        <w:rPr>
          <w:sz w:val="36"/>
          <w:szCs w:val="36"/>
        </w:rPr>
        <w:t xml:space="preserve"> the </w:t>
      </w:r>
      <w:r w:rsidR="00530C7F" w:rsidRPr="001E77BC">
        <w:rPr>
          <w:sz w:val="36"/>
          <w:szCs w:val="36"/>
        </w:rPr>
        <w:t xml:space="preserve">Equality Act 2010 </w:t>
      </w:r>
      <w:r w:rsidR="0027178F" w:rsidRPr="001E77BC">
        <w:rPr>
          <w:sz w:val="36"/>
          <w:szCs w:val="36"/>
        </w:rPr>
        <w:t xml:space="preserve">provisions on </w:t>
      </w:r>
      <w:r w:rsidR="00422E66" w:rsidRPr="001E77BC">
        <w:rPr>
          <w:sz w:val="36"/>
          <w:szCs w:val="36"/>
        </w:rPr>
        <w:t xml:space="preserve">taxi </w:t>
      </w:r>
      <w:r w:rsidR="00FD162D" w:rsidRPr="001E77BC">
        <w:rPr>
          <w:sz w:val="36"/>
          <w:szCs w:val="36"/>
        </w:rPr>
        <w:t xml:space="preserve">wheelchair </w:t>
      </w:r>
      <w:r w:rsidR="00422E66" w:rsidRPr="001E77BC">
        <w:rPr>
          <w:sz w:val="36"/>
          <w:szCs w:val="36"/>
        </w:rPr>
        <w:t>discrimination</w:t>
      </w:r>
    </w:p>
    <w:p w14:paraId="2131C8F5" w14:textId="2EF811B3" w:rsidR="00B823AA" w:rsidRDefault="00D51483" w:rsidP="0027178F">
      <w:pPr>
        <w:spacing w:before="240"/>
        <w:jc w:val="center"/>
        <w:rPr>
          <w:b/>
        </w:rPr>
      </w:pPr>
      <w:r w:rsidRPr="00204990">
        <w:t xml:space="preserve">Doug Paulley, </w:t>
      </w:r>
      <w:r w:rsidR="00856CF2">
        <w:t>April</w:t>
      </w:r>
      <w:r w:rsidR="00D04D1D">
        <w:t xml:space="preserve"> 2018</w:t>
      </w:r>
    </w:p>
    <w:p w14:paraId="0DF71C4C" w14:textId="5814C3D1" w:rsidR="00297E88" w:rsidRDefault="00D51483" w:rsidP="00B823AA">
      <w:pPr>
        <w:pStyle w:val="Title2"/>
        <w:rPr>
          <w:b/>
        </w:rPr>
      </w:pPr>
      <w:r>
        <w:rPr>
          <w:b/>
        </w:rPr>
        <w:t>https://www.kingqueen.org.uk</w:t>
      </w:r>
      <w:r w:rsidR="004C1E40">
        <w:rPr>
          <w:b/>
        </w:rPr>
        <w:t>/s167</w:t>
      </w:r>
    </w:p>
    <w:p w14:paraId="5C05596A" w14:textId="64885AD5" w:rsidR="00D51483" w:rsidRDefault="007865A5" w:rsidP="00530C7F">
      <w:pPr>
        <w:pStyle w:val="Title2"/>
        <w:rPr>
          <w:b/>
        </w:rPr>
      </w:pPr>
      <w:r>
        <w:rPr>
          <w:noProof/>
        </w:rPr>
        <w:drawing>
          <wp:anchor distT="0" distB="0" distL="114300" distR="114300" simplePos="0" relativeHeight="251683840" behindDoc="1" locked="0" layoutInCell="1" allowOverlap="1" wp14:anchorId="412E32F1" wp14:editId="2914A8EB">
            <wp:simplePos x="0" y="0"/>
            <wp:positionH relativeFrom="column">
              <wp:posOffset>393065</wp:posOffset>
            </wp:positionH>
            <wp:positionV relativeFrom="paragraph">
              <wp:posOffset>100615</wp:posOffset>
            </wp:positionV>
            <wp:extent cx="5106401" cy="7230979"/>
            <wp:effectExtent l="114300" t="114300" r="208915" b="217805"/>
            <wp:wrapNone/>
            <wp:docPr id="24" name="Picture 14">
              <a:extLst xmlns:a="http://schemas.openxmlformats.org/drawingml/2006/main">
                <a:ext uri="{FF2B5EF4-FFF2-40B4-BE49-F238E27FC236}">
                  <a16:creationId xmlns:a16="http://schemas.microsoft.com/office/drawing/2014/main" id="{CFBA5055-650C-497D-81FB-B5FE616E0EF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a:extLst>
                        <a:ext uri="{FF2B5EF4-FFF2-40B4-BE49-F238E27FC236}">
                          <a16:creationId xmlns:a16="http://schemas.microsoft.com/office/drawing/2014/main" id="{CFBA5055-650C-497D-81FB-B5FE616E0EFA}"/>
                        </a:ext>
                      </a:extLst>
                    </pic:cNvPr>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106401" cy="7230979"/>
                    </a:xfrm>
                    <a:prstGeom prst="rect">
                      <a:avLst/>
                    </a:prstGeom>
                    <a:ln w="88900" cap="sq" cmpd="thickThin">
                      <a:solidFill>
                        <a:srgbClr val="000000"/>
                      </a:solidFill>
                      <a:prstDash val="solid"/>
                      <a:miter lim="800000"/>
                    </a:ln>
                    <a:effectLst>
                      <a:outerShdw blurRad="50800" dist="635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08888C15" w14:textId="77777777" w:rsidR="005E54DF" w:rsidRDefault="005E54DF">
      <w:pPr>
        <w:spacing w:after="0" w:line="240" w:lineRule="auto"/>
        <w:jc w:val="left"/>
        <w:rPr>
          <w:b/>
          <w:bCs/>
          <w:caps/>
          <w:spacing w:val="4"/>
          <w:sz w:val="28"/>
          <w:szCs w:val="28"/>
        </w:rPr>
      </w:pPr>
      <w:bookmarkStart w:id="1" w:name="_Toc488088746"/>
      <w:bookmarkStart w:id="2" w:name="_Toc488093134"/>
      <w:r>
        <w:br w:type="page"/>
      </w:r>
    </w:p>
    <w:p w14:paraId="5AF60FDA" w14:textId="77777777" w:rsidR="005E54DF" w:rsidRDefault="005E54DF">
      <w:pPr>
        <w:spacing w:after="0" w:line="240" w:lineRule="auto"/>
        <w:jc w:val="left"/>
        <w:sectPr w:rsidR="005E54DF" w:rsidSect="000C56EA">
          <w:headerReference w:type="default" r:id="rId10"/>
          <w:footerReference w:type="default" r:id="rId11"/>
          <w:footerReference w:type="first" r:id="rId12"/>
          <w:footnotePr>
            <w:pos w:val="beneathText"/>
          </w:footnotePr>
          <w:pgSz w:w="11907" w:h="16840" w:code="9"/>
          <w:pgMar w:top="1440" w:right="1440" w:bottom="1440" w:left="1440" w:header="720" w:footer="45" w:gutter="0"/>
          <w:cols w:space="720"/>
          <w:noEndnote/>
          <w:titlePg/>
          <w:docGrid w:linePitch="360"/>
        </w:sectPr>
      </w:pPr>
    </w:p>
    <w:p w14:paraId="54440E20" w14:textId="4C026C43" w:rsidR="00D51483" w:rsidRDefault="00D51483" w:rsidP="00F84034">
      <w:pPr>
        <w:pStyle w:val="Heading1"/>
      </w:pPr>
      <w:bookmarkStart w:id="5" w:name="_Toc512556878"/>
      <w:r>
        <w:lastRenderedPageBreak/>
        <w:t>Abstract</w:t>
      </w:r>
      <w:bookmarkEnd w:id="1"/>
      <w:bookmarkEnd w:id="2"/>
      <w:bookmarkEnd w:id="5"/>
    </w:p>
    <w:p w14:paraId="2EF9F7A6" w14:textId="02311598" w:rsidR="009B32E5" w:rsidRDefault="00D660E4" w:rsidP="00F35787">
      <w:r w:rsidRPr="00D660E4">
        <w:t xml:space="preserve">This </w:t>
      </w:r>
      <w:r>
        <w:t xml:space="preserve">is </w:t>
      </w:r>
      <w:r w:rsidRPr="00D660E4">
        <w:t>follow-up research to my previous report “Licensing authorities’ approach to Section 167 of the Equality Act 2010”</w:t>
      </w:r>
      <w:r w:rsidR="009B32E5">
        <w:t xml:space="preserve">. It is intended to examine local authorities’ implementation of S165-S167 in the intervening six months. </w:t>
      </w:r>
    </w:p>
    <w:p w14:paraId="59FE3D81" w14:textId="51F110A3" w:rsidR="00D660E4" w:rsidRDefault="00D660E4" w:rsidP="00F35787">
      <w:r w:rsidRPr="00D660E4">
        <w:t xml:space="preserve">Section 165 of the Equality Act 2010 makes it illegal for taxi drivers to discriminate against wheelchair users. It was commenced in April 2017 but only takes effect in areas in which the taxi licensing authority has created a “designated list” of accessible vehicles under S167 of the </w:t>
      </w:r>
      <w:r>
        <w:t>A</w:t>
      </w:r>
      <w:r w:rsidRPr="00D660E4">
        <w:t>ct.</w:t>
      </w:r>
      <w:r>
        <w:t xml:space="preserve"> </w:t>
      </w:r>
      <w:r w:rsidRPr="00D660E4">
        <w:t xml:space="preserve">The Department for Transport’s statutory guidance </w:t>
      </w:r>
      <w:r>
        <w:t>advise</w:t>
      </w:r>
      <w:r w:rsidR="009B32E5">
        <w:t xml:space="preserve">s authorities to construct a list, and </w:t>
      </w:r>
      <w:r>
        <w:t xml:space="preserve">that authorities should be </w:t>
      </w:r>
      <w:r w:rsidR="00A758B3">
        <w:t>able</w:t>
      </w:r>
      <w:r>
        <w:t xml:space="preserve"> to produce these lists by 6</w:t>
      </w:r>
      <w:r w:rsidRPr="00D660E4">
        <w:rPr>
          <w:vertAlign w:val="superscript"/>
        </w:rPr>
        <w:t>th</w:t>
      </w:r>
      <w:r>
        <w:t xml:space="preserve"> October 2017. </w:t>
      </w:r>
    </w:p>
    <w:p w14:paraId="51DEBA90" w14:textId="2436485A" w:rsidR="001A22F4" w:rsidRPr="00D04D1D" w:rsidRDefault="009B32E5" w:rsidP="009B32E5">
      <w:pPr>
        <w:rPr>
          <w:strike/>
        </w:rPr>
      </w:pPr>
      <w:r>
        <w:t xml:space="preserve">Only 35% of authorities have created a list. Only 51% of authorities have a clear plan to do so by the end of the financial year. </w:t>
      </w:r>
      <w:r w:rsidR="00A758B3">
        <w:t xml:space="preserve">Many of those that have created lists have failed to follow the statutory guidance, bringing enforceability into question. </w:t>
      </w:r>
      <w:r>
        <w:t xml:space="preserve">There has been no legal action taken against any taxi driver for discriminatory treatment contrary to Section 165. </w:t>
      </w:r>
    </w:p>
    <w:p w14:paraId="3F3CC9F2" w14:textId="3DE342EB" w:rsidR="00A758B3" w:rsidRDefault="00A758B3" w:rsidP="002D0EE3">
      <w:pPr>
        <w:rPr>
          <w:strike/>
        </w:rPr>
      </w:pPr>
      <w:r>
        <w:t xml:space="preserve">Coupled with the very variable provision of wheelchair accessible taxis around Great Britain, local authorities’ failure to consistently implement and enforce this legislation </w:t>
      </w:r>
      <w:r w:rsidR="00D21952" w:rsidRPr="00A758B3">
        <w:t>constitutes</w:t>
      </w:r>
      <w:r w:rsidR="001A22F4" w:rsidRPr="00A758B3">
        <w:t xml:space="preserve"> a substantial barrier to disabled people’s transport </w:t>
      </w:r>
      <w:r w:rsidRPr="00A758B3">
        <w:t>rights and</w:t>
      </w:r>
      <w:r w:rsidR="001A22F4" w:rsidRPr="00A758B3">
        <w:t xml:space="preserve"> undermines the intent behind these provisi</w:t>
      </w:r>
      <w:r w:rsidR="00A00350" w:rsidRPr="00A758B3">
        <w:t>ons of the Act.</w:t>
      </w:r>
    </w:p>
    <w:p w14:paraId="63E02A35" w14:textId="77777777" w:rsidR="000C56EA" w:rsidRDefault="000C56EA">
      <w:pPr>
        <w:spacing w:after="0" w:line="240" w:lineRule="auto"/>
        <w:jc w:val="left"/>
        <w:rPr>
          <w:strike/>
        </w:rPr>
      </w:pPr>
      <w:bookmarkStart w:id="6" w:name="_Toc488088747"/>
      <w:bookmarkStart w:id="7" w:name="_Toc488093135"/>
      <w:r>
        <w:rPr>
          <w:strike/>
        </w:rPr>
        <w:br w:type="page"/>
      </w:r>
    </w:p>
    <w:sdt>
      <w:sdtPr>
        <w:rPr>
          <w:b w:val="0"/>
          <w:bCs w:val="0"/>
          <w:caps w:val="0"/>
          <w:spacing w:val="0"/>
          <w:sz w:val="24"/>
          <w:szCs w:val="22"/>
        </w:rPr>
        <w:id w:val="1612772257"/>
        <w:docPartObj>
          <w:docPartGallery w:val="Table of Contents"/>
          <w:docPartUnique/>
        </w:docPartObj>
      </w:sdtPr>
      <w:sdtEndPr>
        <w:rPr>
          <w:noProof/>
        </w:rPr>
      </w:sdtEndPr>
      <w:sdtContent>
        <w:p w14:paraId="6FD345F0" w14:textId="4BEF22A0" w:rsidR="000C56EA" w:rsidRDefault="000C56EA">
          <w:pPr>
            <w:pStyle w:val="TOCHeading"/>
          </w:pPr>
          <w:r>
            <w:t>Contents</w:t>
          </w:r>
        </w:p>
        <w:p w14:paraId="2A9F708E" w14:textId="6774088A" w:rsidR="00B64349" w:rsidRDefault="000C56EA">
          <w:pPr>
            <w:pStyle w:val="TOC1"/>
            <w:rPr>
              <w:rFonts w:asciiTheme="minorHAnsi" w:eastAsiaTheme="minorEastAsia" w:hAnsiTheme="minorHAnsi" w:cstheme="minorBidi"/>
              <w:noProof/>
              <w:sz w:val="22"/>
              <w:lang w:val="en-GB" w:eastAsia="en-GB"/>
            </w:rPr>
          </w:pPr>
          <w:r>
            <w:fldChar w:fldCharType="begin"/>
          </w:r>
          <w:r>
            <w:instrText xml:space="preserve"> TOC \o "1-3" </w:instrText>
          </w:r>
          <w:r w:rsidR="00445240">
            <w:instrText xml:space="preserve">\n 3-3 </w:instrText>
          </w:r>
          <w:r>
            <w:instrText xml:space="preserve">\h \z \u </w:instrText>
          </w:r>
          <w:r>
            <w:fldChar w:fldCharType="separate"/>
          </w:r>
          <w:hyperlink w:anchor="_Toc512556878" w:history="1">
            <w:r w:rsidR="00B64349" w:rsidRPr="00395F6E">
              <w:rPr>
                <w:rStyle w:val="Hyperlink"/>
                <w:noProof/>
              </w:rPr>
              <w:t>1.</w:t>
            </w:r>
            <w:r w:rsidR="00B64349">
              <w:rPr>
                <w:rFonts w:asciiTheme="minorHAnsi" w:eastAsiaTheme="minorEastAsia" w:hAnsiTheme="minorHAnsi" w:cstheme="minorBidi"/>
                <w:noProof/>
                <w:sz w:val="22"/>
                <w:lang w:val="en-GB" w:eastAsia="en-GB"/>
              </w:rPr>
              <w:tab/>
            </w:r>
            <w:r w:rsidR="00B64349" w:rsidRPr="00395F6E">
              <w:rPr>
                <w:rStyle w:val="Hyperlink"/>
                <w:noProof/>
              </w:rPr>
              <w:t>Abstract</w:t>
            </w:r>
            <w:r w:rsidR="00B64349">
              <w:rPr>
                <w:noProof/>
                <w:webHidden/>
              </w:rPr>
              <w:tab/>
            </w:r>
            <w:r w:rsidR="00B64349">
              <w:rPr>
                <w:noProof/>
                <w:webHidden/>
              </w:rPr>
              <w:fldChar w:fldCharType="begin"/>
            </w:r>
            <w:r w:rsidR="00B64349">
              <w:rPr>
                <w:noProof/>
                <w:webHidden/>
              </w:rPr>
              <w:instrText xml:space="preserve"> PAGEREF _Toc512556878 \h </w:instrText>
            </w:r>
            <w:r w:rsidR="00B64349">
              <w:rPr>
                <w:noProof/>
                <w:webHidden/>
              </w:rPr>
            </w:r>
            <w:r w:rsidR="00B64349">
              <w:rPr>
                <w:noProof/>
                <w:webHidden/>
              </w:rPr>
              <w:fldChar w:fldCharType="separate"/>
            </w:r>
            <w:r w:rsidR="00B64349">
              <w:rPr>
                <w:noProof/>
                <w:webHidden/>
              </w:rPr>
              <w:t>1</w:t>
            </w:r>
            <w:r w:rsidR="00B64349">
              <w:rPr>
                <w:noProof/>
                <w:webHidden/>
              </w:rPr>
              <w:fldChar w:fldCharType="end"/>
            </w:r>
          </w:hyperlink>
        </w:p>
        <w:p w14:paraId="41ADCB22" w14:textId="5741669B" w:rsidR="00B64349" w:rsidRDefault="00B64349">
          <w:pPr>
            <w:pStyle w:val="TOC1"/>
            <w:rPr>
              <w:rFonts w:asciiTheme="minorHAnsi" w:eastAsiaTheme="minorEastAsia" w:hAnsiTheme="minorHAnsi" w:cstheme="minorBidi"/>
              <w:noProof/>
              <w:sz w:val="22"/>
              <w:lang w:val="en-GB" w:eastAsia="en-GB"/>
            </w:rPr>
          </w:pPr>
          <w:hyperlink w:anchor="_Toc512556879" w:history="1">
            <w:r w:rsidRPr="00395F6E">
              <w:rPr>
                <w:rStyle w:val="Hyperlink"/>
                <w:noProof/>
              </w:rPr>
              <w:t>3.</w:t>
            </w:r>
            <w:r>
              <w:rPr>
                <w:rFonts w:asciiTheme="minorHAnsi" w:eastAsiaTheme="minorEastAsia" w:hAnsiTheme="minorHAnsi" w:cstheme="minorBidi"/>
                <w:noProof/>
                <w:sz w:val="22"/>
                <w:lang w:val="en-GB" w:eastAsia="en-GB"/>
              </w:rPr>
              <w:tab/>
            </w:r>
            <w:r w:rsidRPr="00395F6E">
              <w:rPr>
                <w:rStyle w:val="Hyperlink"/>
                <w:noProof/>
              </w:rPr>
              <w:t>Introduction</w:t>
            </w:r>
            <w:r>
              <w:rPr>
                <w:noProof/>
                <w:webHidden/>
              </w:rPr>
              <w:tab/>
            </w:r>
            <w:r>
              <w:rPr>
                <w:noProof/>
                <w:webHidden/>
              </w:rPr>
              <w:fldChar w:fldCharType="begin"/>
            </w:r>
            <w:r>
              <w:rPr>
                <w:noProof/>
                <w:webHidden/>
              </w:rPr>
              <w:instrText xml:space="preserve"> PAGEREF _Toc512556879 \h </w:instrText>
            </w:r>
            <w:r>
              <w:rPr>
                <w:noProof/>
                <w:webHidden/>
              </w:rPr>
            </w:r>
            <w:r>
              <w:rPr>
                <w:noProof/>
                <w:webHidden/>
              </w:rPr>
              <w:fldChar w:fldCharType="separate"/>
            </w:r>
            <w:r>
              <w:rPr>
                <w:noProof/>
                <w:webHidden/>
              </w:rPr>
              <w:t>4</w:t>
            </w:r>
            <w:r>
              <w:rPr>
                <w:noProof/>
                <w:webHidden/>
              </w:rPr>
              <w:fldChar w:fldCharType="end"/>
            </w:r>
          </w:hyperlink>
        </w:p>
        <w:p w14:paraId="43569F22" w14:textId="53B0B4F3" w:rsidR="00B64349" w:rsidRDefault="00B64349">
          <w:pPr>
            <w:pStyle w:val="TOC2"/>
            <w:tabs>
              <w:tab w:val="left" w:pos="720"/>
              <w:tab w:val="right" w:leader="dot" w:pos="9017"/>
            </w:tabs>
            <w:rPr>
              <w:rFonts w:asciiTheme="minorHAnsi" w:eastAsiaTheme="minorEastAsia" w:hAnsiTheme="minorHAnsi" w:cstheme="minorBidi"/>
              <w:noProof/>
              <w:sz w:val="22"/>
              <w:lang w:val="en-GB" w:eastAsia="en-GB"/>
            </w:rPr>
          </w:pPr>
          <w:hyperlink w:anchor="_Toc512556880" w:history="1">
            <w:r w:rsidRPr="00395F6E">
              <w:rPr>
                <w:rStyle w:val="Hyperlink"/>
                <w:noProof/>
              </w:rPr>
              <w:t>a)</w:t>
            </w:r>
            <w:r>
              <w:rPr>
                <w:rFonts w:asciiTheme="minorHAnsi" w:eastAsiaTheme="minorEastAsia" w:hAnsiTheme="minorHAnsi" w:cstheme="minorBidi"/>
                <w:noProof/>
                <w:sz w:val="22"/>
                <w:lang w:val="en-GB" w:eastAsia="en-GB"/>
              </w:rPr>
              <w:tab/>
            </w:r>
            <w:r w:rsidRPr="00395F6E">
              <w:rPr>
                <w:rStyle w:val="Hyperlink"/>
                <w:noProof/>
              </w:rPr>
              <w:t>Legislative background</w:t>
            </w:r>
            <w:r>
              <w:rPr>
                <w:noProof/>
                <w:webHidden/>
              </w:rPr>
              <w:tab/>
            </w:r>
            <w:r>
              <w:rPr>
                <w:noProof/>
                <w:webHidden/>
              </w:rPr>
              <w:fldChar w:fldCharType="begin"/>
            </w:r>
            <w:r>
              <w:rPr>
                <w:noProof/>
                <w:webHidden/>
              </w:rPr>
              <w:instrText xml:space="preserve"> PAGEREF _Toc512556880 \h </w:instrText>
            </w:r>
            <w:r>
              <w:rPr>
                <w:noProof/>
                <w:webHidden/>
              </w:rPr>
            </w:r>
            <w:r>
              <w:rPr>
                <w:noProof/>
                <w:webHidden/>
              </w:rPr>
              <w:fldChar w:fldCharType="separate"/>
            </w:r>
            <w:r>
              <w:rPr>
                <w:noProof/>
                <w:webHidden/>
              </w:rPr>
              <w:t>4</w:t>
            </w:r>
            <w:r>
              <w:rPr>
                <w:noProof/>
                <w:webHidden/>
              </w:rPr>
              <w:fldChar w:fldCharType="end"/>
            </w:r>
          </w:hyperlink>
        </w:p>
        <w:p w14:paraId="6D23B5A3" w14:textId="54F327B1" w:rsidR="00B64349" w:rsidRDefault="00B64349">
          <w:pPr>
            <w:pStyle w:val="TOC2"/>
            <w:tabs>
              <w:tab w:val="left" w:pos="720"/>
              <w:tab w:val="right" w:leader="dot" w:pos="9017"/>
            </w:tabs>
            <w:rPr>
              <w:rFonts w:asciiTheme="minorHAnsi" w:eastAsiaTheme="minorEastAsia" w:hAnsiTheme="minorHAnsi" w:cstheme="minorBidi"/>
              <w:noProof/>
              <w:sz w:val="22"/>
              <w:lang w:val="en-GB" w:eastAsia="en-GB"/>
            </w:rPr>
          </w:pPr>
          <w:hyperlink w:anchor="_Toc512556881" w:history="1">
            <w:r w:rsidRPr="00395F6E">
              <w:rPr>
                <w:rStyle w:val="Hyperlink"/>
                <w:noProof/>
              </w:rPr>
              <w:t>b)</w:t>
            </w:r>
            <w:r>
              <w:rPr>
                <w:rFonts w:asciiTheme="minorHAnsi" w:eastAsiaTheme="minorEastAsia" w:hAnsiTheme="minorHAnsi" w:cstheme="minorBidi"/>
                <w:noProof/>
                <w:sz w:val="22"/>
                <w:lang w:val="en-GB" w:eastAsia="en-GB"/>
              </w:rPr>
              <w:tab/>
            </w:r>
            <w:r w:rsidRPr="00395F6E">
              <w:rPr>
                <w:rStyle w:val="Hyperlink"/>
                <w:noProof/>
              </w:rPr>
              <w:t>The issue in question</w:t>
            </w:r>
            <w:r>
              <w:rPr>
                <w:noProof/>
                <w:webHidden/>
              </w:rPr>
              <w:tab/>
            </w:r>
            <w:r>
              <w:rPr>
                <w:noProof/>
                <w:webHidden/>
              </w:rPr>
              <w:fldChar w:fldCharType="begin"/>
            </w:r>
            <w:r>
              <w:rPr>
                <w:noProof/>
                <w:webHidden/>
              </w:rPr>
              <w:instrText xml:space="preserve"> PAGEREF _Toc512556881 \h </w:instrText>
            </w:r>
            <w:r>
              <w:rPr>
                <w:noProof/>
                <w:webHidden/>
              </w:rPr>
            </w:r>
            <w:r>
              <w:rPr>
                <w:noProof/>
                <w:webHidden/>
              </w:rPr>
              <w:fldChar w:fldCharType="separate"/>
            </w:r>
            <w:r>
              <w:rPr>
                <w:noProof/>
                <w:webHidden/>
              </w:rPr>
              <w:t>4</w:t>
            </w:r>
            <w:r>
              <w:rPr>
                <w:noProof/>
                <w:webHidden/>
              </w:rPr>
              <w:fldChar w:fldCharType="end"/>
            </w:r>
          </w:hyperlink>
        </w:p>
        <w:p w14:paraId="0DFC29B3" w14:textId="25357884" w:rsidR="00B64349" w:rsidRDefault="00B64349">
          <w:pPr>
            <w:pStyle w:val="TOC2"/>
            <w:tabs>
              <w:tab w:val="left" w:pos="720"/>
              <w:tab w:val="right" w:leader="dot" w:pos="9017"/>
            </w:tabs>
            <w:rPr>
              <w:rFonts w:asciiTheme="minorHAnsi" w:eastAsiaTheme="minorEastAsia" w:hAnsiTheme="minorHAnsi" w:cstheme="minorBidi"/>
              <w:noProof/>
              <w:sz w:val="22"/>
              <w:lang w:val="en-GB" w:eastAsia="en-GB"/>
            </w:rPr>
          </w:pPr>
          <w:hyperlink w:anchor="_Toc512556882" w:history="1">
            <w:r w:rsidRPr="00395F6E">
              <w:rPr>
                <w:rStyle w:val="Hyperlink"/>
                <w:noProof/>
              </w:rPr>
              <w:t>c)</w:t>
            </w:r>
            <w:r>
              <w:rPr>
                <w:rFonts w:asciiTheme="minorHAnsi" w:eastAsiaTheme="minorEastAsia" w:hAnsiTheme="minorHAnsi" w:cstheme="minorBidi"/>
                <w:noProof/>
                <w:sz w:val="22"/>
                <w:lang w:val="en-GB" w:eastAsia="en-GB"/>
              </w:rPr>
              <w:tab/>
            </w:r>
            <w:r w:rsidRPr="00395F6E">
              <w:rPr>
                <w:rStyle w:val="Hyperlink"/>
                <w:noProof/>
              </w:rPr>
              <w:t>Subsidiary issues</w:t>
            </w:r>
            <w:r>
              <w:rPr>
                <w:noProof/>
                <w:webHidden/>
              </w:rPr>
              <w:tab/>
            </w:r>
            <w:r>
              <w:rPr>
                <w:noProof/>
                <w:webHidden/>
              </w:rPr>
              <w:fldChar w:fldCharType="begin"/>
            </w:r>
            <w:r>
              <w:rPr>
                <w:noProof/>
                <w:webHidden/>
              </w:rPr>
              <w:instrText xml:space="preserve"> PAGEREF _Toc512556882 \h </w:instrText>
            </w:r>
            <w:r>
              <w:rPr>
                <w:noProof/>
                <w:webHidden/>
              </w:rPr>
            </w:r>
            <w:r>
              <w:rPr>
                <w:noProof/>
                <w:webHidden/>
              </w:rPr>
              <w:fldChar w:fldCharType="separate"/>
            </w:r>
            <w:r>
              <w:rPr>
                <w:noProof/>
                <w:webHidden/>
              </w:rPr>
              <w:t>4</w:t>
            </w:r>
            <w:r>
              <w:rPr>
                <w:noProof/>
                <w:webHidden/>
              </w:rPr>
              <w:fldChar w:fldCharType="end"/>
            </w:r>
          </w:hyperlink>
        </w:p>
        <w:p w14:paraId="1DD878B1" w14:textId="04684A7A" w:rsidR="00B64349" w:rsidRDefault="00B64349">
          <w:pPr>
            <w:pStyle w:val="TOC3"/>
            <w:tabs>
              <w:tab w:val="right" w:leader="dot" w:pos="9017"/>
            </w:tabs>
            <w:rPr>
              <w:rFonts w:asciiTheme="minorHAnsi" w:eastAsiaTheme="minorEastAsia" w:hAnsiTheme="minorHAnsi" w:cstheme="minorBidi"/>
              <w:noProof/>
              <w:sz w:val="22"/>
              <w:lang w:val="en-GB" w:eastAsia="en-GB"/>
            </w:rPr>
          </w:pPr>
          <w:hyperlink w:anchor="_Toc512556883" w:history="1">
            <w:r w:rsidRPr="00395F6E">
              <w:rPr>
                <w:rStyle w:val="Hyperlink"/>
                <w:noProof/>
              </w:rPr>
              <w:t>Compliance with Statutory Guidance</w:t>
            </w:r>
          </w:hyperlink>
        </w:p>
        <w:p w14:paraId="149AEEC7" w14:textId="3904AEDA" w:rsidR="00B64349" w:rsidRDefault="00B64349">
          <w:pPr>
            <w:pStyle w:val="TOC3"/>
            <w:tabs>
              <w:tab w:val="right" w:leader="dot" w:pos="9017"/>
            </w:tabs>
            <w:rPr>
              <w:rFonts w:asciiTheme="minorHAnsi" w:eastAsiaTheme="minorEastAsia" w:hAnsiTheme="minorHAnsi" w:cstheme="minorBidi"/>
              <w:noProof/>
              <w:sz w:val="22"/>
              <w:lang w:val="en-GB" w:eastAsia="en-GB"/>
            </w:rPr>
          </w:pPr>
          <w:hyperlink w:anchor="_Toc512556884" w:history="1">
            <w:r w:rsidRPr="00395F6E">
              <w:rPr>
                <w:rStyle w:val="Hyperlink"/>
                <w:noProof/>
              </w:rPr>
              <w:t>Exemptions and Applications</w:t>
            </w:r>
          </w:hyperlink>
        </w:p>
        <w:p w14:paraId="16C6FEEB" w14:textId="45C8ED57" w:rsidR="00B64349" w:rsidRDefault="00B64349">
          <w:pPr>
            <w:pStyle w:val="TOC3"/>
            <w:tabs>
              <w:tab w:val="right" w:leader="dot" w:pos="9017"/>
            </w:tabs>
            <w:rPr>
              <w:rFonts w:asciiTheme="minorHAnsi" w:eastAsiaTheme="minorEastAsia" w:hAnsiTheme="minorHAnsi" w:cstheme="minorBidi"/>
              <w:noProof/>
              <w:sz w:val="22"/>
              <w:lang w:val="en-GB" w:eastAsia="en-GB"/>
            </w:rPr>
          </w:pPr>
          <w:hyperlink w:anchor="_Toc512556885" w:history="1">
            <w:r w:rsidRPr="00395F6E">
              <w:rPr>
                <w:rStyle w:val="Hyperlink"/>
                <w:noProof/>
              </w:rPr>
              <w:t>Enforcement</w:t>
            </w:r>
          </w:hyperlink>
        </w:p>
        <w:p w14:paraId="6B2E40CE" w14:textId="4087EC5C" w:rsidR="00B64349" w:rsidRDefault="00B64349">
          <w:pPr>
            <w:pStyle w:val="TOC3"/>
            <w:tabs>
              <w:tab w:val="right" w:leader="dot" w:pos="9017"/>
            </w:tabs>
            <w:rPr>
              <w:rFonts w:asciiTheme="minorHAnsi" w:eastAsiaTheme="minorEastAsia" w:hAnsiTheme="minorHAnsi" w:cstheme="minorBidi"/>
              <w:noProof/>
              <w:sz w:val="22"/>
              <w:lang w:val="en-GB" w:eastAsia="en-GB"/>
            </w:rPr>
          </w:pPr>
          <w:hyperlink w:anchor="_Toc512556886" w:history="1">
            <w:r w:rsidRPr="00395F6E">
              <w:rPr>
                <w:rStyle w:val="Hyperlink"/>
                <w:noProof/>
              </w:rPr>
              <w:t>Taxi provision statistics</w:t>
            </w:r>
          </w:hyperlink>
        </w:p>
        <w:p w14:paraId="68790AF5" w14:textId="17366E6A" w:rsidR="00B64349" w:rsidRDefault="00B64349">
          <w:pPr>
            <w:pStyle w:val="TOC1"/>
            <w:rPr>
              <w:rFonts w:asciiTheme="minorHAnsi" w:eastAsiaTheme="minorEastAsia" w:hAnsiTheme="minorHAnsi" w:cstheme="minorBidi"/>
              <w:noProof/>
              <w:sz w:val="22"/>
              <w:lang w:val="en-GB" w:eastAsia="en-GB"/>
            </w:rPr>
          </w:pPr>
          <w:hyperlink w:anchor="_Toc512556887" w:history="1">
            <w:r w:rsidRPr="00395F6E">
              <w:rPr>
                <w:rStyle w:val="Hyperlink"/>
                <w:noProof/>
              </w:rPr>
              <w:t>4.</w:t>
            </w:r>
            <w:r>
              <w:rPr>
                <w:rFonts w:asciiTheme="minorHAnsi" w:eastAsiaTheme="minorEastAsia" w:hAnsiTheme="minorHAnsi" w:cstheme="minorBidi"/>
                <w:noProof/>
                <w:sz w:val="22"/>
                <w:lang w:val="en-GB" w:eastAsia="en-GB"/>
              </w:rPr>
              <w:tab/>
            </w:r>
            <w:r w:rsidRPr="00395F6E">
              <w:rPr>
                <w:rStyle w:val="Hyperlink"/>
                <w:noProof/>
              </w:rPr>
              <w:t>Methods</w:t>
            </w:r>
            <w:r>
              <w:rPr>
                <w:noProof/>
                <w:webHidden/>
              </w:rPr>
              <w:tab/>
            </w:r>
            <w:r>
              <w:rPr>
                <w:noProof/>
                <w:webHidden/>
              </w:rPr>
              <w:fldChar w:fldCharType="begin"/>
            </w:r>
            <w:r>
              <w:rPr>
                <w:noProof/>
                <w:webHidden/>
              </w:rPr>
              <w:instrText xml:space="preserve"> PAGEREF _Toc512556887 \h </w:instrText>
            </w:r>
            <w:r>
              <w:rPr>
                <w:noProof/>
                <w:webHidden/>
              </w:rPr>
            </w:r>
            <w:r>
              <w:rPr>
                <w:noProof/>
                <w:webHidden/>
              </w:rPr>
              <w:fldChar w:fldCharType="separate"/>
            </w:r>
            <w:r>
              <w:rPr>
                <w:noProof/>
                <w:webHidden/>
              </w:rPr>
              <w:t>6</w:t>
            </w:r>
            <w:r>
              <w:rPr>
                <w:noProof/>
                <w:webHidden/>
              </w:rPr>
              <w:fldChar w:fldCharType="end"/>
            </w:r>
          </w:hyperlink>
        </w:p>
        <w:p w14:paraId="06A6370B" w14:textId="6675669A" w:rsidR="00B64349" w:rsidRDefault="00B64349">
          <w:pPr>
            <w:pStyle w:val="TOC2"/>
            <w:tabs>
              <w:tab w:val="right" w:leader="dot" w:pos="9017"/>
            </w:tabs>
            <w:rPr>
              <w:rFonts w:asciiTheme="minorHAnsi" w:eastAsiaTheme="minorEastAsia" w:hAnsiTheme="minorHAnsi" w:cstheme="minorBidi"/>
              <w:noProof/>
              <w:sz w:val="22"/>
              <w:lang w:val="en-GB" w:eastAsia="en-GB"/>
            </w:rPr>
          </w:pPr>
          <w:hyperlink w:anchor="_Toc512556888" w:history="1">
            <w:r w:rsidRPr="00395F6E">
              <w:rPr>
                <w:rStyle w:val="Hyperlink"/>
                <w:noProof/>
              </w:rPr>
              <w:t>a) Freedom of Information (FOI) Requests</w:t>
            </w:r>
            <w:r>
              <w:rPr>
                <w:noProof/>
                <w:webHidden/>
              </w:rPr>
              <w:tab/>
            </w:r>
            <w:r>
              <w:rPr>
                <w:noProof/>
                <w:webHidden/>
              </w:rPr>
              <w:fldChar w:fldCharType="begin"/>
            </w:r>
            <w:r>
              <w:rPr>
                <w:noProof/>
                <w:webHidden/>
              </w:rPr>
              <w:instrText xml:space="preserve"> PAGEREF _Toc512556888 \h </w:instrText>
            </w:r>
            <w:r>
              <w:rPr>
                <w:noProof/>
                <w:webHidden/>
              </w:rPr>
            </w:r>
            <w:r>
              <w:rPr>
                <w:noProof/>
                <w:webHidden/>
              </w:rPr>
              <w:fldChar w:fldCharType="separate"/>
            </w:r>
            <w:r>
              <w:rPr>
                <w:noProof/>
                <w:webHidden/>
              </w:rPr>
              <w:t>6</w:t>
            </w:r>
            <w:r>
              <w:rPr>
                <w:noProof/>
                <w:webHidden/>
              </w:rPr>
              <w:fldChar w:fldCharType="end"/>
            </w:r>
          </w:hyperlink>
        </w:p>
        <w:p w14:paraId="319A52E6" w14:textId="47D4372F" w:rsidR="00B64349" w:rsidRDefault="00B64349">
          <w:pPr>
            <w:pStyle w:val="TOC2"/>
            <w:tabs>
              <w:tab w:val="left" w:pos="720"/>
              <w:tab w:val="right" w:leader="dot" w:pos="9017"/>
            </w:tabs>
            <w:rPr>
              <w:rFonts w:asciiTheme="minorHAnsi" w:eastAsiaTheme="minorEastAsia" w:hAnsiTheme="minorHAnsi" w:cstheme="minorBidi"/>
              <w:noProof/>
              <w:sz w:val="22"/>
              <w:lang w:val="en-GB" w:eastAsia="en-GB"/>
            </w:rPr>
          </w:pPr>
          <w:hyperlink w:anchor="_Toc512556889" w:history="1">
            <w:r w:rsidRPr="00395F6E">
              <w:rPr>
                <w:rStyle w:val="Hyperlink"/>
                <w:noProof/>
              </w:rPr>
              <w:t>b)</w:t>
            </w:r>
            <w:r>
              <w:rPr>
                <w:rFonts w:asciiTheme="minorHAnsi" w:eastAsiaTheme="minorEastAsia" w:hAnsiTheme="minorHAnsi" w:cstheme="minorBidi"/>
                <w:noProof/>
                <w:sz w:val="22"/>
                <w:lang w:val="en-GB" w:eastAsia="en-GB"/>
              </w:rPr>
              <w:tab/>
            </w:r>
            <w:r w:rsidRPr="00395F6E">
              <w:rPr>
                <w:rStyle w:val="Hyperlink"/>
                <w:noProof/>
              </w:rPr>
              <w:t>Characteristics of licensing authorities</w:t>
            </w:r>
            <w:r>
              <w:rPr>
                <w:noProof/>
                <w:webHidden/>
              </w:rPr>
              <w:tab/>
            </w:r>
            <w:r>
              <w:rPr>
                <w:noProof/>
                <w:webHidden/>
              </w:rPr>
              <w:fldChar w:fldCharType="begin"/>
            </w:r>
            <w:r>
              <w:rPr>
                <w:noProof/>
                <w:webHidden/>
              </w:rPr>
              <w:instrText xml:space="preserve"> PAGEREF _Toc512556889 \h </w:instrText>
            </w:r>
            <w:r>
              <w:rPr>
                <w:noProof/>
                <w:webHidden/>
              </w:rPr>
            </w:r>
            <w:r>
              <w:rPr>
                <w:noProof/>
                <w:webHidden/>
              </w:rPr>
              <w:fldChar w:fldCharType="separate"/>
            </w:r>
            <w:r>
              <w:rPr>
                <w:noProof/>
                <w:webHidden/>
              </w:rPr>
              <w:t>6</w:t>
            </w:r>
            <w:r>
              <w:rPr>
                <w:noProof/>
                <w:webHidden/>
              </w:rPr>
              <w:fldChar w:fldCharType="end"/>
            </w:r>
          </w:hyperlink>
        </w:p>
        <w:p w14:paraId="086B1A59" w14:textId="7E0941DF" w:rsidR="00B64349" w:rsidRDefault="00B64349">
          <w:pPr>
            <w:pStyle w:val="TOC3"/>
            <w:tabs>
              <w:tab w:val="right" w:leader="dot" w:pos="9017"/>
            </w:tabs>
            <w:rPr>
              <w:rFonts w:asciiTheme="minorHAnsi" w:eastAsiaTheme="minorEastAsia" w:hAnsiTheme="minorHAnsi" w:cstheme="minorBidi"/>
              <w:noProof/>
              <w:sz w:val="22"/>
              <w:lang w:val="en-GB" w:eastAsia="en-GB"/>
            </w:rPr>
          </w:pPr>
          <w:hyperlink w:anchor="_Toc512556890" w:history="1">
            <w:r w:rsidRPr="00395F6E">
              <w:rPr>
                <w:rStyle w:val="Hyperlink"/>
                <w:noProof/>
              </w:rPr>
              <w:t>Data for England, Scotland and Wales</w:t>
            </w:r>
          </w:hyperlink>
        </w:p>
        <w:p w14:paraId="0FDE852D" w14:textId="24AB1F0B" w:rsidR="00B64349" w:rsidRDefault="00B64349">
          <w:pPr>
            <w:pStyle w:val="TOC3"/>
            <w:tabs>
              <w:tab w:val="right" w:leader="dot" w:pos="9017"/>
            </w:tabs>
            <w:rPr>
              <w:rFonts w:asciiTheme="minorHAnsi" w:eastAsiaTheme="minorEastAsia" w:hAnsiTheme="minorHAnsi" w:cstheme="minorBidi"/>
              <w:noProof/>
              <w:sz w:val="22"/>
              <w:lang w:val="en-GB" w:eastAsia="en-GB"/>
            </w:rPr>
          </w:pPr>
          <w:hyperlink w:anchor="_Toc512556891" w:history="1">
            <w:r w:rsidRPr="00395F6E">
              <w:rPr>
                <w:rStyle w:val="Hyperlink"/>
                <w:noProof/>
              </w:rPr>
              <w:t>Data for England and Wales only</w:t>
            </w:r>
          </w:hyperlink>
        </w:p>
        <w:p w14:paraId="66A7D5B4" w14:textId="639E99A4" w:rsidR="00B64349" w:rsidRDefault="00B64349">
          <w:pPr>
            <w:pStyle w:val="TOC2"/>
            <w:tabs>
              <w:tab w:val="left" w:pos="720"/>
              <w:tab w:val="right" w:leader="dot" w:pos="9017"/>
            </w:tabs>
            <w:rPr>
              <w:rFonts w:asciiTheme="minorHAnsi" w:eastAsiaTheme="minorEastAsia" w:hAnsiTheme="minorHAnsi" w:cstheme="minorBidi"/>
              <w:noProof/>
              <w:sz w:val="22"/>
              <w:lang w:val="en-GB" w:eastAsia="en-GB"/>
            </w:rPr>
          </w:pPr>
          <w:hyperlink w:anchor="_Toc512556892" w:history="1">
            <w:r w:rsidRPr="00395F6E">
              <w:rPr>
                <w:rStyle w:val="Hyperlink"/>
                <w:noProof/>
              </w:rPr>
              <w:t>c)</w:t>
            </w:r>
            <w:r>
              <w:rPr>
                <w:rFonts w:asciiTheme="minorHAnsi" w:eastAsiaTheme="minorEastAsia" w:hAnsiTheme="minorHAnsi" w:cstheme="minorBidi"/>
                <w:noProof/>
                <w:sz w:val="22"/>
                <w:lang w:val="en-GB" w:eastAsia="en-GB"/>
              </w:rPr>
              <w:tab/>
            </w:r>
            <w:r w:rsidRPr="00395F6E">
              <w:rPr>
                <w:rStyle w:val="Hyperlink"/>
                <w:noProof/>
              </w:rPr>
              <w:t>Classification of Authorities’ Responses</w:t>
            </w:r>
            <w:r>
              <w:rPr>
                <w:noProof/>
                <w:webHidden/>
              </w:rPr>
              <w:tab/>
            </w:r>
            <w:r>
              <w:rPr>
                <w:noProof/>
                <w:webHidden/>
              </w:rPr>
              <w:fldChar w:fldCharType="begin"/>
            </w:r>
            <w:r>
              <w:rPr>
                <w:noProof/>
                <w:webHidden/>
              </w:rPr>
              <w:instrText xml:space="preserve"> PAGEREF _Toc512556892 \h </w:instrText>
            </w:r>
            <w:r>
              <w:rPr>
                <w:noProof/>
                <w:webHidden/>
              </w:rPr>
            </w:r>
            <w:r>
              <w:rPr>
                <w:noProof/>
                <w:webHidden/>
              </w:rPr>
              <w:fldChar w:fldCharType="separate"/>
            </w:r>
            <w:r>
              <w:rPr>
                <w:noProof/>
                <w:webHidden/>
              </w:rPr>
              <w:t>7</w:t>
            </w:r>
            <w:r>
              <w:rPr>
                <w:noProof/>
                <w:webHidden/>
              </w:rPr>
              <w:fldChar w:fldCharType="end"/>
            </w:r>
          </w:hyperlink>
        </w:p>
        <w:p w14:paraId="4FBE49BC" w14:textId="7EF38B49" w:rsidR="00B64349" w:rsidRDefault="00B64349">
          <w:pPr>
            <w:pStyle w:val="TOC3"/>
            <w:tabs>
              <w:tab w:val="right" w:leader="dot" w:pos="9017"/>
            </w:tabs>
            <w:rPr>
              <w:rFonts w:asciiTheme="minorHAnsi" w:eastAsiaTheme="minorEastAsia" w:hAnsiTheme="minorHAnsi" w:cstheme="minorBidi"/>
              <w:noProof/>
              <w:sz w:val="22"/>
              <w:lang w:val="en-GB" w:eastAsia="en-GB"/>
            </w:rPr>
          </w:pPr>
          <w:hyperlink w:anchor="_Toc512556893" w:history="1">
            <w:r w:rsidRPr="00395F6E">
              <w:rPr>
                <w:rStyle w:val="Hyperlink"/>
                <w:noProof/>
              </w:rPr>
              <w:t>S167 grade</w:t>
            </w:r>
          </w:hyperlink>
        </w:p>
        <w:p w14:paraId="521F87FD" w14:textId="540DA5F7" w:rsidR="00B64349" w:rsidRDefault="00B64349">
          <w:pPr>
            <w:pStyle w:val="TOC2"/>
            <w:tabs>
              <w:tab w:val="left" w:pos="720"/>
              <w:tab w:val="right" w:leader="dot" w:pos="9017"/>
            </w:tabs>
            <w:rPr>
              <w:rFonts w:asciiTheme="minorHAnsi" w:eastAsiaTheme="minorEastAsia" w:hAnsiTheme="minorHAnsi" w:cstheme="minorBidi"/>
              <w:noProof/>
              <w:sz w:val="22"/>
              <w:lang w:val="en-GB" w:eastAsia="en-GB"/>
            </w:rPr>
          </w:pPr>
          <w:hyperlink w:anchor="_Toc512556894" w:history="1">
            <w:r w:rsidRPr="00395F6E">
              <w:rPr>
                <w:rStyle w:val="Hyperlink"/>
                <w:noProof/>
              </w:rPr>
              <w:t>d)</w:t>
            </w:r>
            <w:r>
              <w:rPr>
                <w:rFonts w:asciiTheme="minorHAnsi" w:eastAsiaTheme="minorEastAsia" w:hAnsiTheme="minorHAnsi" w:cstheme="minorBidi"/>
                <w:noProof/>
                <w:sz w:val="22"/>
                <w:lang w:val="en-GB" w:eastAsia="en-GB"/>
              </w:rPr>
              <w:tab/>
            </w:r>
            <w:r w:rsidRPr="00395F6E">
              <w:rPr>
                <w:rStyle w:val="Hyperlink"/>
                <w:noProof/>
              </w:rPr>
              <w:t>Analysis</w:t>
            </w:r>
            <w:r>
              <w:rPr>
                <w:noProof/>
                <w:webHidden/>
              </w:rPr>
              <w:tab/>
            </w:r>
            <w:r>
              <w:rPr>
                <w:noProof/>
                <w:webHidden/>
              </w:rPr>
              <w:fldChar w:fldCharType="begin"/>
            </w:r>
            <w:r>
              <w:rPr>
                <w:noProof/>
                <w:webHidden/>
              </w:rPr>
              <w:instrText xml:space="preserve"> PAGEREF _Toc512556894 \h </w:instrText>
            </w:r>
            <w:r>
              <w:rPr>
                <w:noProof/>
                <w:webHidden/>
              </w:rPr>
            </w:r>
            <w:r>
              <w:rPr>
                <w:noProof/>
                <w:webHidden/>
              </w:rPr>
              <w:fldChar w:fldCharType="separate"/>
            </w:r>
            <w:r>
              <w:rPr>
                <w:noProof/>
                <w:webHidden/>
              </w:rPr>
              <w:t>7</w:t>
            </w:r>
            <w:r>
              <w:rPr>
                <w:noProof/>
                <w:webHidden/>
              </w:rPr>
              <w:fldChar w:fldCharType="end"/>
            </w:r>
          </w:hyperlink>
        </w:p>
        <w:p w14:paraId="1EB0D4D2" w14:textId="727D8205" w:rsidR="00B64349" w:rsidRDefault="00B64349">
          <w:pPr>
            <w:pStyle w:val="TOC1"/>
            <w:rPr>
              <w:rFonts w:asciiTheme="minorHAnsi" w:eastAsiaTheme="minorEastAsia" w:hAnsiTheme="minorHAnsi" w:cstheme="minorBidi"/>
              <w:noProof/>
              <w:sz w:val="22"/>
              <w:lang w:val="en-GB" w:eastAsia="en-GB"/>
            </w:rPr>
          </w:pPr>
          <w:hyperlink w:anchor="_Toc512556895" w:history="1">
            <w:r w:rsidRPr="00395F6E">
              <w:rPr>
                <w:rStyle w:val="Hyperlink"/>
                <w:noProof/>
              </w:rPr>
              <w:t>5.</w:t>
            </w:r>
            <w:r>
              <w:rPr>
                <w:rFonts w:asciiTheme="minorHAnsi" w:eastAsiaTheme="minorEastAsia" w:hAnsiTheme="minorHAnsi" w:cstheme="minorBidi"/>
                <w:noProof/>
                <w:sz w:val="22"/>
                <w:lang w:val="en-GB" w:eastAsia="en-GB"/>
              </w:rPr>
              <w:tab/>
            </w:r>
            <w:r w:rsidRPr="00395F6E">
              <w:rPr>
                <w:rStyle w:val="Hyperlink"/>
                <w:noProof/>
              </w:rPr>
              <w:t>Results</w:t>
            </w:r>
            <w:r>
              <w:rPr>
                <w:noProof/>
                <w:webHidden/>
              </w:rPr>
              <w:tab/>
            </w:r>
            <w:r>
              <w:rPr>
                <w:noProof/>
                <w:webHidden/>
              </w:rPr>
              <w:fldChar w:fldCharType="begin"/>
            </w:r>
            <w:r>
              <w:rPr>
                <w:noProof/>
                <w:webHidden/>
              </w:rPr>
              <w:instrText xml:space="preserve"> PAGEREF _Toc512556895 \h </w:instrText>
            </w:r>
            <w:r>
              <w:rPr>
                <w:noProof/>
                <w:webHidden/>
              </w:rPr>
            </w:r>
            <w:r>
              <w:rPr>
                <w:noProof/>
                <w:webHidden/>
              </w:rPr>
              <w:fldChar w:fldCharType="separate"/>
            </w:r>
            <w:r>
              <w:rPr>
                <w:noProof/>
                <w:webHidden/>
              </w:rPr>
              <w:t>8</w:t>
            </w:r>
            <w:r>
              <w:rPr>
                <w:noProof/>
                <w:webHidden/>
              </w:rPr>
              <w:fldChar w:fldCharType="end"/>
            </w:r>
          </w:hyperlink>
        </w:p>
        <w:p w14:paraId="00E142F3" w14:textId="24B325EF" w:rsidR="00B64349" w:rsidRDefault="00B64349">
          <w:pPr>
            <w:pStyle w:val="TOC2"/>
            <w:tabs>
              <w:tab w:val="left" w:pos="720"/>
              <w:tab w:val="right" w:leader="dot" w:pos="9017"/>
            </w:tabs>
            <w:rPr>
              <w:rFonts w:asciiTheme="minorHAnsi" w:eastAsiaTheme="minorEastAsia" w:hAnsiTheme="minorHAnsi" w:cstheme="minorBidi"/>
              <w:noProof/>
              <w:sz w:val="22"/>
              <w:lang w:val="en-GB" w:eastAsia="en-GB"/>
            </w:rPr>
          </w:pPr>
          <w:hyperlink w:anchor="_Toc512556896" w:history="1">
            <w:r w:rsidRPr="00395F6E">
              <w:rPr>
                <w:rStyle w:val="Hyperlink"/>
                <w:noProof/>
              </w:rPr>
              <w:t>a)</w:t>
            </w:r>
            <w:r>
              <w:rPr>
                <w:rFonts w:asciiTheme="minorHAnsi" w:eastAsiaTheme="minorEastAsia" w:hAnsiTheme="minorHAnsi" w:cstheme="minorBidi"/>
                <w:noProof/>
                <w:sz w:val="22"/>
                <w:lang w:val="en-GB" w:eastAsia="en-GB"/>
              </w:rPr>
              <w:tab/>
            </w:r>
            <w:r w:rsidRPr="00395F6E">
              <w:rPr>
                <w:rStyle w:val="Hyperlink"/>
                <w:noProof/>
              </w:rPr>
              <w:t>Accompanying spreadsheet</w:t>
            </w:r>
            <w:r>
              <w:rPr>
                <w:noProof/>
                <w:webHidden/>
              </w:rPr>
              <w:tab/>
            </w:r>
            <w:r>
              <w:rPr>
                <w:noProof/>
                <w:webHidden/>
              </w:rPr>
              <w:fldChar w:fldCharType="begin"/>
            </w:r>
            <w:r>
              <w:rPr>
                <w:noProof/>
                <w:webHidden/>
              </w:rPr>
              <w:instrText xml:space="preserve"> PAGEREF _Toc512556896 \h </w:instrText>
            </w:r>
            <w:r>
              <w:rPr>
                <w:noProof/>
                <w:webHidden/>
              </w:rPr>
            </w:r>
            <w:r>
              <w:rPr>
                <w:noProof/>
                <w:webHidden/>
              </w:rPr>
              <w:fldChar w:fldCharType="separate"/>
            </w:r>
            <w:r>
              <w:rPr>
                <w:noProof/>
                <w:webHidden/>
              </w:rPr>
              <w:t>8</w:t>
            </w:r>
            <w:r>
              <w:rPr>
                <w:noProof/>
                <w:webHidden/>
              </w:rPr>
              <w:fldChar w:fldCharType="end"/>
            </w:r>
          </w:hyperlink>
        </w:p>
        <w:p w14:paraId="5CD222C4" w14:textId="3209C2A7" w:rsidR="00B64349" w:rsidRDefault="00B64349">
          <w:pPr>
            <w:pStyle w:val="TOC2"/>
            <w:tabs>
              <w:tab w:val="left" w:pos="720"/>
              <w:tab w:val="right" w:leader="dot" w:pos="9017"/>
            </w:tabs>
            <w:rPr>
              <w:rFonts w:asciiTheme="minorHAnsi" w:eastAsiaTheme="minorEastAsia" w:hAnsiTheme="minorHAnsi" w:cstheme="minorBidi"/>
              <w:noProof/>
              <w:sz w:val="22"/>
              <w:lang w:val="en-GB" w:eastAsia="en-GB"/>
            </w:rPr>
          </w:pPr>
          <w:hyperlink w:anchor="_Toc512556897" w:history="1">
            <w:r w:rsidRPr="00395F6E">
              <w:rPr>
                <w:rStyle w:val="Hyperlink"/>
                <w:noProof/>
              </w:rPr>
              <w:t>b)</w:t>
            </w:r>
            <w:r>
              <w:rPr>
                <w:rFonts w:asciiTheme="minorHAnsi" w:eastAsiaTheme="minorEastAsia" w:hAnsiTheme="minorHAnsi" w:cstheme="minorBidi"/>
                <w:noProof/>
                <w:sz w:val="22"/>
                <w:lang w:val="en-GB" w:eastAsia="en-GB"/>
              </w:rPr>
              <w:tab/>
            </w:r>
            <w:r w:rsidRPr="00395F6E">
              <w:rPr>
                <w:rStyle w:val="Hyperlink"/>
                <w:noProof/>
              </w:rPr>
              <w:t>S167 intent</w:t>
            </w:r>
            <w:r>
              <w:rPr>
                <w:noProof/>
                <w:webHidden/>
              </w:rPr>
              <w:tab/>
            </w:r>
            <w:r>
              <w:rPr>
                <w:noProof/>
                <w:webHidden/>
              </w:rPr>
              <w:fldChar w:fldCharType="begin"/>
            </w:r>
            <w:r>
              <w:rPr>
                <w:noProof/>
                <w:webHidden/>
              </w:rPr>
              <w:instrText xml:space="preserve"> PAGEREF _Toc512556897 \h </w:instrText>
            </w:r>
            <w:r>
              <w:rPr>
                <w:noProof/>
                <w:webHidden/>
              </w:rPr>
            </w:r>
            <w:r>
              <w:rPr>
                <w:noProof/>
                <w:webHidden/>
              </w:rPr>
              <w:fldChar w:fldCharType="separate"/>
            </w:r>
            <w:r>
              <w:rPr>
                <w:noProof/>
                <w:webHidden/>
              </w:rPr>
              <w:t>8</w:t>
            </w:r>
            <w:r>
              <w:rPr>
                <w:noProof/>
                <w:webHidden/>
              </w:rPr>
              <w:fldChar w:fldCharType="end"/>
            </w:r>
          </w:hyperlink>
        </w:p>
        <w:p w14:paraId="048CA5C8" w14:textId="53B27723" w:rsidR="00B64349" w:rsidRDefault="00B64349">
          <w:pPr>
            <w:pStyle w:val="TOC3"/>
            <w:tabs>
              <w:tab w:val="right" w:leader="dot" w:pos="9017"/>
            </w:tabs>
            <w:rPr>
              <w:rFonts w:asciiTheme="minorHAnsi" w:eastAsiaTheme="minorEastAsia" w:hAnsiTheme="minorHAnsi" w:cstheme="minorBidi"/>
              <w:noProof/>
              <w:sz w:val="22"/>
              <w:lang w:val="en-GB" w:eastAsia="en-GB"/>
            </w:rPr>
          </w:pPr>
          <w:hyperlink w:anchor="_Toc512556898" w:history="1">
            <w:r w:rsidRPr="00395F6E">
              <w:rPr>
                <w:rStyle w:val="Hyperlink"/>
                <w:noProof/>
              </w:rPr>
              <w:t>Overall</w:t>
            </w:r>
          </w:hyperlink>
        </w:p>
        <w:p w14:paraId="22C089CD" w14:textId="655E5C4E" w:rsidR="00B64349" w:rsidRDefault="00B64349">
          <w:pPr>
            <w:pStyle w:val="TOC3"/>
            <w:tabs>
              <w:tab w:val="right" w:leader="dot" w:pos="9017"/>
            </w:tabs>
            <w:rPr>
              <w:rFonts w:asciiTheme="minorHAnsi" w:eastAsiaTheme="minorEastAsia" w:hAnsiTheme="minorHAnsi" w:cstheme="minorBidi"/>
              <w:noProof/>
              <w:sz w:val="22"/>
              <w:lang w:val="en-GB" w:eastAsia="en-GB"/>
            </w:rPr>
          </w:pPr>
          <w:hyperlink w:anchor="_Toc512556899" w:history="1">
            <w:r w:rsidRPr="00395F6E">
              <w:rPr>
                <w:rStyle w:val="Hyperlink"/>
                <w:noProof/>
              </w:rPr>
              <w:t>S167 intent by Country</w:t>
            </w:r>
          </w:hyperlink>
        </w:p>
        <w:p w14:paraId="4F735464" w14:textId="6E1B74D5" w:rsidR="00B64349" w:rsidRDefault="00B64349">
          <w:pPr>
            <w:pStyle w:val="TOC2"/>
            <w:tabs>
              <w:tab w:val="left" w:pos="720"/>
              <w:tab w:val="right" w:leader="dot" w:pos="9017"/>
            </w:tabs>
            <w:rPr>
              <w:rFonts w:asciiTheme="minorHAnsi" w:eastAsiaTheme="minorEastAsia" w:hAnsiTheme="minorHAnsi" w:cstheme="minorBidi"/>
              <w:noProof/>
              <w:sz w:val="22"/>
              <w:lang w:val="en-GB" w:eastAsia="en-GB"/>
            </w:rPr>
          </w:pPr>
          <w:hyperlink w:anchor="_Toc512556900" w:history="1">
            <w:r w:rsidRPr="00395F6E">
              <w:rPr>
                <w:rStyle w:val="Hyperlink"/>
                <w:noProof/>
              </w:rPr>
              <w:t>c)</w:t>
            </w:r>
            <w:r>
              <w:rPr>
                <w:rFonts w:asciiTheme="minorHAnsi" w:eastAsiaTheme="minorEastAsia" w:hAnsiTheme="minorHAnsi" w:cstheme="minorBidi"/>
                <w:noProof/>
                <w:sz w:val="22"/>
                <w:lang w:val="en-GB" w:eastAsia="en-GB"/>
              </w:rPr>
              <w:tab/>
            </w:r>
            <w:r w:rsidRPr="00395F6E">
              <w:rPr>
                <w:rStyle w:val="Hyperlink"/>
                <w:noProof/>
              </w:rPr>
              <w:t>S167 Grade</w:t>
            </w:r>
            <w:r>
              <w:rPr>
                <w:noProof/>
                <w:webHidden/>
              </w:rPr>
              <w:tab/>
            </w:r>
            <w:r>
              <w:rPr>
                <w:noProof/>
                <w:webHidden/>
              </w:rPr>
              <w:fldChar w:fldCharType="begin"/>
            </w:r>
            <w:r>
              <w:rPr>
                <w:noProof/>
                <w:webHidden/>
              </w:rPr>
              <w:instrText xml:space="preserve"> PAGEREF _Toc512556900 \h </w:instrText>
            </w:r>
            <w:r>
              <w:rPr>
                <w:noProof/>
                <w:webHidden/>
              </w:rPr>
            </w:r>
            <w:r>
              <w:rPr>
                <w:noProof/>
                <w:webHidden/>
              </w:rPr>
              <w:fldChar w:fldCharType="separate"/>
            </w:r>
            <w:r>
              <w:rPr>
                <w:noProof/>
                <w:webHidden/>
              </w:rPr>
              <w:t>11</w:t>
            </w:r>
            <w:r>
              <w:rPr>
                <w:noProof/>
                <w:webHidden/>
              </w:rPr>
              <w:fldChar w:fldCharType="end"/>
            </w:r>
          </w:hyperlink>
        </w:p>
        <w:p w14:paraId="16794EC8" w14:textId="34062229" w:rsidR="00B64349" w:rsidRDefault="00B64349">
          <w:pPr>
            <w:pStyle w:val="TOC2"/>
            <w:tabs>
              <w:tab w:val="left" w:pos="720"/>
              <w:tab w:val="right" w:leader="dot" w:pos="9017"/>
            </w:tabs>
            <w:rPr>
              <w:rFonts w:asciiTheme="minorHAnsi" w:eastAsiaTheme="minorEastAsia" w:hAnsiTheme="minorHAnsi" w:cstheme="minorBidi"/>
              <w:noProof/>
              <w:sz w:val="22"/>
              <w:lang w:val="en-GB" w:eastAsia="en-GB"/>
            </w:rPr>
          </w:pPr>
          <w:hyperlink w:anchor="_Toc512556901" w:history="1">
            <w:r w:rsidRPr="00395F6E">
              <w:rPr>
                <w:rStyle w:val="Hyperlink"/>
                <w:noProof/>
              </w:rPr>
              <w:t>d)</w:t>
            </w:r>
            <w:r>
              <w:rPr>
                <w:rFonts w:asciiTheme="minorHAnsi" w:eastAsiaTheme="minorEastAsia" w:hAnsiTheme="minorHAnsi" w:cstheme="minorBidi"/>
                <w:noProof/>
                <w:sz w:val="22"/>
                <w:lang w:val="en-GB" w:eastAsia="en-GB"/>
              </w:rPr>
              <w:tab/>
            </w:r>
            <w:r w:rsidRPr="00395F6E">
              <w:rPr>
                <w:rStyle w:val="Hyperlink"/>
                <w:noProof/>
              </w:rPr>
              <w:t>Changes in approach to S167</w:t>
            </w:r>
            <w:r>
              <w:rPr>
                <w:noProof/>
                <w:webHidden/>
              </w:rPr>
              <w:tab/>
            </w:r>
            <w:r>
              <w:rPr>
                <w:noProof/>
                <w:webHidden/>
              </w:rPr>
              <w:fldChar w:fldCharType="begin"/>
            </w:r>
            <w:r>
              <w:rPr>
                <w:noProof/>
                <w:webHidden/>
              </w:rPr>
              <w:instrText xml:space="preserve"> PAGEREF _Toc512556901 \h </w:instrText>
            </w:r>
            <w:r>
              <w:rPr>
                <w:noProof/>
                <w:webHidden/>
              </w:rPr>
            </w:r>
            <w:r>
              <w:rPr>
                <w:noProof/>
                <w:webHidden/>
              </w:rPr>
              <w:fldChar w:fldCharType="separate"/>
            </w:r>
            <w:r>
              <w:rPr>
                <w:noProof/>
                <w:webHidden/>
              </w:rPr>
              <w:t>14</w:t>
            </w:r>
            <w:r>
              <w:rPr>
                <w:noProof/>
                <w:webHidden/>
              </w:rPr>
              <w:fldChar w:fldCharType="end"/>
            </w:r>
          </w:hyperlink>
        </w:p>
        <w:p w14:paraId="46D008F3" w14:textId="42C383A8" w:rsidR="00B64349" w:rsidRDefault="00B64349">
          <w:pPr>
            <w:pStyle w:val="TOC2"/>
            <w:tabs>
              <w:tab w:val="left" w:pos="720"/>
              <w:tab w:val="right" w:leader="dot" w:pos="9017"/>
            </w:tabs>
            <w:rPr>
              <w:rFonts w:asciiTheme="minorHAnsi" w:eastAsiaTheme="minorEastAsia" w:hAnsiTheme="minorHAnsi" w:cstheme="minorBidi"/>
              <w:noProof/>
              <w:sz w:val="22"/>
              <w:lang w:val="en-GB" w:eastAsia="en-GB"/>
            </w:rPr>
          </w:pPr>
          <w:hyperlink w:anchor="_Toc512556902" w:history="1">
            <w:r w:rsidRPr="00395F6E">
              <w:rPr>
                <w:rStyle w:val="Hyperlink"/>
                <w:noProof/>
              </w:rPr>
              <w:t>e)</w:t>
            </w:r>
            <w:r>
              <w:rPr>
                <w:rFonts w:asciiTheme="minorHAnsi" w:eastAsiaTheme="minorEastAsia" w:hAnsiTheme="minorHAnsi" w:cstheme="minorBidi"/>
                <w:noProof/>
                <w:sz w:val="22"/>
                <w:lang w:val="en-GB" w:eastAsia="en-GB"/>
              </w:rPr>
              <w:tab/>
            </w:r>
            <w:r w:rsidRPr="00395F6E">
              <w:rPr>
                <w:rStyle w:val="Hyperlink"/>
                <w:noProof/>
              </w:rPr>
              <w:t>Authorities with 100% wheelchair accessible fleets</w:t>
            </w:r>
            <w:r>
              <w:rPr>
                <w:noProof/>
                <w:webHidden/>
              </w:rPr>
              <w:tab/>
            </w:r>
            <w:r>
              <w:rPr>
                <w:noProof/>
                <w:webHidden/>
              </w:rPr>
              <w:fldChar w:fldCharType="begin"/>
            </w:r>
            <w:r>
              <w:rPr>
                <w:noProof/>
                <w:webHidden/>
              </w:rPr>
              <w:instrText xml:space="preserve"> PAGEREF _Toc512556902 \h </w:instrText>
            </w:r>
            <w:r>
              <w:rPr>
                <w:noProof/>
                <w:webHidden/>
              </w:rPr>
            </w:r>
            <w:r>
              <w:rPr>
                <w:noProof/>
                <w:webHidden/>
              </w:rPr>
              <w:fldChar w:fldCharType="separate"/>
            </w:r>
            <w:r>
              <w:rPr>
                <w:noProof/>
                <w:webHidden/>
              </w:rPr>
              <w:t>16</w:t>
            </w:r>
            <w:r>
              <w:rPr>
                <w:noProof/>
                <w:webHidden/>
              </w:rPr>
              <w:fldChar w:fldCharType="end"/>
            </w:r>
          </w:hyperlink>
        </w:p>
        <w:p w14:paraId="35F43841" w14:textId="07B2CE97" w:rsidR="00B64349" w:rsidRDefault="00B64349">
          <w:pPr>
            <w:pStyle w:val="TOC2"/>
            <w:tabs>
              <w:tab w:val="left" w:pos="720"/>
              <w:tab w:val="right" w:leader="dot" w:pos="9017"/>
            </w:tabs>
            <w:rPr>
              <w:rFonts w:asciiTheme="minorHAnsi" w:eastAsiaTheme="minorEastAsia" w:hAnsiTheme="minorHAnsi" w:cstheme="minorBidi"/>
              <w:noProof/>
              <w:sz w:val="22"/>
              <w:lang w:val="en-GB" w:eastAsia="en-GB"/>
            </w:rPr>
          </w:pPr>
          <w:hyperlink w:anchor="_Toc512556903" w:history="1">
            <w:r w:rsidRPr="00395F6E">
              <w:rPr>
                <w:rStyle w:val="Hyperlink"/>
                <w:noProof/>
              </w:rPr>
              <w:t>f)</w:t>
            </w:r>
            <w:r>
              <w:rPr>
                <w:rFonts w:asciiTheme="minorHAnsi" w:eastAsiaTheme="minorEastAsia" w:hAnsiTheme="minorHAnsi" w:cstheme="minorBidi"/>
                <w:noProof/>
                <w:sz w:val="22"/>
                <w:lang w:val="en-GB" w:eastAsia="en-GB"/>
              </w:rPr>
              <w:tab/>
            </w:r>
            <w:r w:rsidRPr="00395F6E">
              <w:rPr>
                <w:rStyle w:val="Hyperlink"/>
                <w:noProof/>
              </w:rPr>
              <w:t>Compliance with Statutory Guidance</w:t>
            </w:r>
            <w:r>
              <w:rPr>
                <w:noProof/>
                <w:webHidden/>
              </w:rPr>
              <w:tab/>
            </w:r>
            <w:r>
              <w:rPr>
                <w:noProof/>
                <w:webHidden/>
              </w:rPr>
              <w:fldChar w:fldCharType="begin"/>
            </w:r>
            <w:r>
              <w:rPr>
                <w:noProof/>
                <w:webHidden/>
              </w:rPr>
              <w:instrText xml:space="preserve"> PAGEREF _Toc512556903 \h </w:instrText>
            </w:r>
            <w:r>
              <w:rPr>
                <w:noProof/>
                <w:webHidden/>
              </w:rPr>
            </w:r>
            <w:r>
              <w:rPr>
                <w:noProof/>
                <w:webHidden/>
              </w:rPr>
              <w:fldChar w:fldCharType="separate"/>
            </w:r>
            <w:r>
              <w:rPr>
                <w:noProof/>
                <w:webHidden/>
              </w:rPr>
              <w:t>17</w:t>
            </w:r>
            <w:r>
              <w:rPr>
                <w:noProof/>
                <w:webHidden/>
              </w:rPr>
              <w:fldChar w:fldCharType="end"/>
            </w:r>
          </w:hyperlink>
        </w:p>
        <w:p w14:paraId="751EF79E" w14:textId="198605AE" w:rsidR="00B64349" w:rsidRDefault="00B64349">
          <w:pPr>
            <w:pStyle w:val="TOC2"/>
            <w:tabs>
              <w:tab w:val="left" w:pos="720"/>
              <w:tab w:val="right" w:leader="dot" w:pos="9017"/>
            </w:tabs>
            <w:rPr>
              <w:rFonts w:asciiTheme="minorHAnsi" w:eastAsiaTheme="minorEastAsia" w:hAnsiTheme="minorHAnsi" w:cstheme="minorBidi"/>
              <w:noProof/>
              <w:sz w:val="22"/>
              <w:lang w:val="en-GB" w:eastAsia="en-GB"/>
            </w:rPr>
          </w:pPr>
          <w:hyperlink w:anchor="_Toc512556904" w:history="1">
            <w:r w:rsidRPr="00395F6E">
              <w:rPr>
                <w:rStyle w:val="Hyperlink"/>
                <w:noProof/>
              </w:rPr>
              <w:t>g)</w:t>
            </w:r>
            <w:r>
              <w:rPr>
                <w:rFonts w:asciiTheme="minorHAnsi" w:eastAsiaTheme="minorEastAsia" w:hAnsiTheme="minorHAnsi" w:cstheme="minorBidi"/>
                <w:noProof/>
                <w:sz w:val="22"/>
                <w:lang w:val="en-GB" w:eastAsia="en-GB"/>
              </w:rPr>
              <w:tab/>
            </w:r>
            <w:r w:rsidRPr="00395F6E">
              <w:rPr>
                <w:rStyle w:val="Hyperlink"/>
                <w:noProof/>
              </w:rPr>
              <w:t>Driver Guidance</w:t>
            </w:r>
            <w:r>
              <w:rPr>
                <w:noProof/>
                <w:webHidden/>
              </w:rPr>
              <w:tab/>
            </w:r>
            <w:r>
              <w:rPr>
                <w:noProof/>
                <w:webHidden/>
              </w:rPr>
              <w:fldChar w:fldCharType="begin"/>
            </w:r>
            <w:r>
              <w:rPr>
                <w:noProof/>
                <w:webHidden/>
              </w:rPr>
              <w:instrText xml:space="preserve"> PAGEREF _Toc512556904 \h </w:instrText>
            </w:r>
            <w:r>
              <w:rPr>
                <w:noProof/>
                <w:webHidden/>
              </w:rPr>
            </w:r>
            <w:r>
              <w:rPr>
                <w:noProof/>
                <w:webHidden/>
              </w:rPr>
              <w:fldChar w:fldCharType="separate"/>
            </w:r>
            <w:r>
              <w:rPr>
                <w:noProof/>
                <w:webHidden/>
              </w:rPr>
              <w:t>19</w:t>
            </w:r>
            <w:r>
              <w:rPr>
                <w:noProof/>
                <w:webHidden/>
              </w:rPr>
              <w:fldChar w:fldCharType="end"/>
            </w:r>
          </w:hyperlink>
        </w:p>
        <w:p w14:paraId="400E58B7" w14:textId="664AEE25" w:rsidR="00B64349" w:rsidRDefault="00B64349">
          <w:pPr>
            <w:pStyle w:val="TOC2"/>
            <w:tabs>
              <w:tab w:val="left" w:pos="720"/>
              <w:tab w:val="right" w:leader="dot" w:pos="9017"/>
            </w:tabs>
            <w:rPr>
              <w:rFonts w:asciiTheme="minorHAnsi" w:eastAsiaTheme="minorEastAsia" w:hAnsiTheme="minorHAnsi" w:cstheme="minorBidi"/>
              <w:noProof/>
              <w:sz w:val="22"/>
              <w:lang w:val="en-GB" w:eastAsia="en-GB"/>
            </w:rPr>
          </w:pPr>
          <w:hyperlink w:anchor="_Toc512556905" w:history="1">
            <w:r w:rsidRPr="00395F6E">
              <w:rPr>
                <w:rStyle w:val="Hyperlink"/>
                <w:noProof/>
              </w:rPr>
              <w:t>h)</w:t>
            </w:r>
            <w:r>
              <w:rPr>
                <w:rFonts w:asciiTheme="minorHAnsi" w:eastAsiaTheme="minorEastAsia" w:hAnsiTheme="minorHAnsi" w:cstheme="minorBidi"/>
                <w:noProof/>
                <w:sz w:val="22"/>
                <w:lang w:val="en-GB" w:eastAsia="en-GB"/>
              </w:rPr>
              <w:tab/>
            </w:r>
            <w:r w:rsidRPr="00395F6E">
              <w:rPr>
                <w:rStyle w:val="Hyperlink"/>
                <w:noProof/>
              </w:rPr>
              <w:t>Medical exemption application procedures</w:t>
            </w:r>
            <w:r>
              <w:rPr>
                <w:noProof/>
                <w:webHidden/>
              </w:rPr>
              <w:tab/>
            </w:r>
            <w:r>
              <w:rPr>
                <w:noProof/>
                <w:webHidden/>
              </w:rPr>
              <w:fldChar w:fldCharType="begin"/>
            </w:r>
            <w:r>
              <w:rPr>
                <w:noProof/>
                <w:webHidden/>
              </w:rPr>
              <w:instrText xml:space="preserve"> PAGEREF _Toc512556905 \h </w:instrText>
            </w:r>
            <w:r>
              <w:rPr>
                <w:noProof/>
                <w:webHidden/>
              </w:rPr>
            </w:r>
            <w:r>
              <w:rPr>
                <w:noProof/>
                <w:webHidden/>
              </w:rPr>
              <w:fldChar w:fldCharType="separate"/>
            </w:r>
            <w:r>
              <w:rPr>
                <w:noProof/>
                <w:webHidden/>
              </w:rPr>
              <w:t>19</w:t>
            </w:r>
            <w:r>
              <w:rPr>
                <w:noProof/>
                <w:webHidden/>
              </w:rPr>
              <w:fldChar w:fldCharType="end"/>
            </w:r>
          </w:hyperlink>
        </w:p>
        <w:p w14:paraId="016E491D" w14:textId="3374E445" w:rsidR="00B64349" w:rsidRDefault="00B64349">
          <w:pPr>
            <w:pStyle w:val="TOC2"/>
            <w:tabs>
              <w:tab w:val="left" w:pos="720"/>
              <w:tab w:val="right" w:leader="dot" w:pos="9017"/>
            </w:tabs>
            <w:rPr>
              <w:rFonts w:asciiTheme="minorHAnsi" w:eastAsiaTheme="minorEastAsia" w:hAnsiTheme="minorHAnsi" w:cstheme="minorBidi"/>
              <w:noProof/>
              <w:sz w:val="22"/>
              <w:lang w:val="en-GB" w:eastAsia="en-GB"/>
            </w:rPr>
          </w:pPr>
          <w:hyperlink w:anchor="_Toc512556906" w:history="1">
            <w:r w:rsidRPr="00395F6E">
              <w:rPr>
                <w:rStyle w:val="Hyperlink"/>
                <w:noProof/>
              </w:rPr>
              <w:t>i)</w:t>
            </w:r>
            <w:r>
              <w:rPr>
                <w:rFonts w:asciiTheme="minorHAnsi" w:eastAsiaTheme="minorEastAsia" w:hAnsiTheme="minorHAnsi" w:cstheme="minorBidi"/>
                <w:noProof/>
                <w:sz w:val="22"/>
                <w:lang w:val="en-GB" w:eastAsia="en-GB"/>
              </w:rPr>
              <w:tab/>
            </w:r>
            <w:r w:rsidRPr="00395F6E">
              <w:rPr>
                <w:rStyle w:val="Hyperlink"/>
                <w:noProof/>
              </w:rPr>
              <w:t>Lists of vehicles that accommodate wheelchair users who can transfer</w:t>
            </w:r>
            <w:r>
              <w:rPr>
                <w:noProof/>
                <w:webHidden/>
              </w:rPr>
              <w:tab/>
            </w:r>
            <w:r>
              <w:rPr>
                <w:noProof/>
                <w:webHidden/>
              </w:rPr>
              <w:fldChar w:fldCharType="begin"/>
            </w:r>
            <w:r>
              <w:rPr>
                <w:noProof/>
                <w:webHidden/>
              </w:rPr>
              <w:instrText xml:space="preserve"> PAGEREF _Toc512556906 \h </w:instrText>
            </w:r>
            <w:r>
              <w:rPr>
                <w:noProof/>
                <w:webHidden/>
              </w:rPr>
            </w:r>
            <w:r>
              <w:rPr>
                <w:noProof/>
                <w:webHidden/>
              </w:rPr>
              <w:fldChar w:fldCharType="separate"/>
            </w:r>
            <w:r>
              <w:rPr>
                <w:noProof/>
                <w:webHidden/>
              </w:rPr>
              <w:t>19</w:t>
            </w:r>
            <w:r>
              <w:rPr>
                <w:noProof/>
                <w:webHidden/>
              </w:rPr>
              <w:fldChar w:fldCharType="end"/>
            </w:r>
          </w:hyperlink>
        </w:p>
        <w:p w14:paraId="7EF78ED6" w14:textId="1AF015C9" w:rsidR="00B64349" w:rsidRDefault="00B64349">
          <w:pPr>
            <w:pStyle w:val="TOC2"/>
            <w:tabs>
              <w:tab w:val="left" w:pos="720"/>
              <w:tab w:val="right" w:leader="dot" w:pos="9017"/>
            </w:tabs>
            <w:rPr>
              <w:rFonts w:asciiTheme="minorHAnsi" w:eastAsiaTheme="minorEastAsia" w:hAnsiTheme="minorHAnsi" w:cstheme="minorBidi"/>
              <w:noProof/>
              <w:sz w:val="22"/>
              <w:lang w:val="en-GB" w:eastAsia="en-GB"/>
            </w:rPr>
          </w:pPr>
          <w:hyperlink w:anchor="_Toc512556907" w:history="1">
            <w:r w:rsidRPr="00395F6E">
              <w:rPr>
                <w:rStyle w:val="Hyperlink"/>
                <w:noProof/>
              </w:rPr>
              <w:t>j)</w:t>
            </w:r>
            <w:r>
              <w:rPr>
                <w:rFonts w:asciiTheme="minorHAnsi" w:eastAsiaTheme="minorEastAsia" w:hAnsiTheme="minorHAnsi" w:cstheme="minorBidi"/>
                <w:noProof/>
                <w:sz w:val="22"/>
                <w:lang w:val="en-GB" w:eastAsia="en-GB"/>
              </w:rPr>
              <w:tab/>
            </w:r>
            <w:r w:rsidRPr="00395F6E">
              <w:rPr>
                <w:rStyle w:val="Hyperlink"/>
                <w:noProof/>
              </w:rPr>
              <w:t>Exemptions under S166</w:t>
            </w:r>
            <w:r>
              <w:rPr>
                <w:noProof/>
                <w:webHidden/>
              </w:rPr>
              <w:tab/>
            </w:r>
            <w:r>
              <w:rPr>
                <w:noProof/>
                <w:webHidden/>
              </w:rPr>
              <w:fldChar w:fldCharType="begin"/>
            </w:r>
            <w:r>
              <w:rPr>
                <w:noProof/>
                <w:webHidden/>
              </w:rPr>
              <w:instrText xml:space="preserve"> PAGEREF _Toc512556907 \h </w:instrText>
            </w:r>
            <w:r>
              <w:rPr>
                <w:noProof/>
                <w:webHidden/>
              </w:rPr>
            </w:r>
            <w:r>
              <w:rPr>
                <w:noProof/>
                <w:webHidden/>
              </w:rPr>
              <w:fldChar w:fldCharType="separate"/>
            </w:r>
            <w:r>
              <w:rPr>
                <w:noProof/>
                <w:webHidden/>
              </w:rPr>
              <w:t>20</w:t>
            </w:r>
            <w:r>
              <w:rPr>
                <w:noProof/>
                <w:webHidden/>
              </w:rPr>
              <w:fldChar w:fldCharType="end"/>
            </w:r>
          </w:hyperlink>
        </w:p>
        <w:p w14:paraId="7A2F9583" w14:textId="4A1649D4" w:rsidR="00B64349" w:rsidRDefault="00B64349">
          <w:pPr>
            <w:pStyle w:val="TOC2"/>
            <w:tabs>
              <w:tab w:val="left" w:pos="720"/>
              <w:tab w:val="right" w:leader="dot" w:pos="9017"/>
            </w:tabs>
            <w:rPr>
              <w:rFonts w:asciiTheme="minorHAnsi" w:eastAsiaTheme="minorEastAsia" w:hAnsiTheme="minorHAnsi" w:cstheme="minorBidi"/>
              <w:noProof/>
              <w:sz w:val="22"/>
              <w:lang w:val="en-GB" w:eastAsia="en-GB"/>
            </w:rPr>
          </w:pPr>
          <w:hyperlink w:anchor="_Toc512556908" w:history="1">
            <w:r w:rsidRPr="00395F6E">
              <w:rPr>
                <w:rStyle w:val="Hyperlink"/>
                <w:noProof/>
              </w:rPr>
              <w:t>k)</w:t>
            </w:r>
            <w:r>
              <w:rPr>
                <w:rFonts w:asciiTheme="minorHAnsi" w:eastAsiaTheme="minorEastAsia" w:hAnsiTheme="minorHAnsi" w:cstheme="minorBidi"/>
                <w:noProof/>
                <w:sz w:val="22"/>
                <w:lang w:val="en-GB" w:eastAsia="en-GB"/>
              </w:rPr>
              <w:tab/>
            </w:r>
            <w:r w:rsidRPr="00395F6E">
              <w:rPr>
                <w:rStyle w:val="Hyperlink"/>
                <w:noProof/>
              </w:rPr>
              <w:t>Changes in Provision of Wheelchair Accessible Vehicles</w:t>
            </w:r>
            <w:r>
              <w:rPr>
                <w:noProof/>
                <w:webHidden/>
              </w:rPr>
              <w:tab/>
            </w:r>
            <w:r>
              <w:rPr>
                <w:noProof/>
                <w:webHidden/>
              </w:rPr>
              <w:fldChar w:fldCharType="begin"/>
            </w:r>
            <w:r>
              <w:rPr>
                <w:noProof/>
                <w:webHidden/>
              </w:rPr>
              <w:instrText xml:space="preserve"> PAGEREF _Toc512556908 \h </w:instrText>
            </w:r>
            <w:r>
              <w:rPr>
                <w:noProof/>
                <w:webHidden/>
              </w:rPr>
            </w:r>
            <w:r>
              <w:rPr>
                <w:noProof/>
                <w:webHidden/>
              </w:rPr>
              <w:fldChar w:fldCharType="separate"/>
            </w:r>
            <w:r>
              <w:rPr>
                <w:noProof/>
                <w:webHidden/>
              </w:rPr>
              <w:t>21</w:t>
            </w:r>
            <w:r>
              <w:rPr>
                <w:noProof/>
                <w:webHidden/>
              </w:rPr>
              <w:fldChar w:fldCharType="end"/>
            </w:r>
          </w:hyperlink>
        </w:p>
        <w:p w14:paraId="0E87AC04" w14:textId="6FB2F28C" w:rsidR="00B64349" w:rsidRDefault="00B64349">
          <w:pPr>
            <w:pStyle w:val="TOC2"/>
            <w:tabs>
              <w:tab w:val="left" w:pos="720"/>
              <w:tab w:val="right" w:leader="dot" w:pos="9017"/>
            </w:tabs>
            <w:rPr>
              <w:rFonts w:asciiTheme="minorHAnsi" w:eastAsiaTheme="minorEastAsia" w:hAnsiTheme="minorHAnsi" w:cstheme="minorBidi"/>
              <w:noProof/>
              <w:sz w:val="22"/>
              <w:lang w:val="en-GB" w:eastAsia="en-GB"/>
            </w:rPr>
          </w:pPr>
          <w:hyperlink w:anchor="_Toc512556909" w:history="1">
            <w:r w:rsidRPr="00395F6E">
              <w:rPr>
                <w:rStyle w:val="Hyperlink"/>
                <w:noProof/>
              </w:rPr>
              <w:t>l)</w:t>
            </w:r>
            <w:r>
              <w:rPr>
                <w:rFonts w:asciiTheme="minorHAnsi" w:eastAsiaTheme="minorEastAsia" w:hAnsiTheme="minorHAnsi" w:cstheme="minorBidi"/>
                <w:noProof/>
                <w:sz w:val="22"/>
                <w:lang w:val="en-GB" w:eastAsia="en-GB"/>
              </w:rPr>
              <w:tab/>
            </w:r>
            <w:r w:rsidRPr="00395F6E">
              <w:rPr>
                <w:rStyle w:val="Hyperlink"/>
                <w:noProof/>
              </w:rPr>
              <w:t>Licensing authorities’ Policies on Wheelchair Accessibility</w:t>
            </w:r>
            <w:r>
              <w:rPr>
                <w:noProof/>
                <w:webHidden/>
              </w:rPr>
              <w:tab/>
            </w:r>
            <w:r>
              <w:rPr>
                <w:noProof/>
                <w:webHidden/>
              </w:rPr>
              <w:fldChar w:fldCharType="begin"/>
            </w:r>
            <w:r>
              <w:rPr>
                <w:noProof/>
                <w:webHidden/>
              </w:rPr>
              <w:instrText xml:space="preserve"> PAGEREF _Toc512556909 \h </w:instrText>
            </w:r>
            <w:r>
              <w:rPr>
                <w:noProof/>
                <w:webHidden/>
              </w:rPr>
            </w:r>
            <w:r>
              <w:rPr>
                <w:noProof/>
                <w:webHidden/>
              </w:rPr>
              <w:fldChar w:fldCharType="separate"/>
            </w:r>
            <w:r>
              <w:rPr>
                <w:noProof/>
                <w:webHidden/>
              </w:rPr>
              <w:t>26</w:t>
            </w:r>
            <w:r>
              <w:rPr>
                <w:noProof/>
                <w:webHidden/>
              </w:rPr>
              <w:fldChar w:fldCharType="end"/>
            </w:r>
          </w:hyperlink>
        </w:p>
        <w:p w14:paraId="05DEDED0" w14:textId="1C0FF80B" w:rsidR="00B64349" w:rsidRDefault="00B64349">
          <w:pPr>
            <w:pStyle w:val="TOC2"/>
            <w:tabs>
              <w:tab w:val="left" w:pos="960"/>
              <w:tab w:val="right" w:leader="dot" w:pos="9017"/>
            </w:tabs>
            <w:rPr>
              <w:rFonts w:asciiTheme="minorHAnsi" w:eastAsiaTheme="minorEastAsia" w:hAnsiTheme="minorHAnsi" w:cstheme="minorBidi"/>
              <w:noProof/>
              <w:sz w:val="22"/>
              <w:lang w:val="en-GB" w:eastAsia="en-GB"/>
            </w:rPr>
          </w:pPr>
          <w:hyperlink w:anchor="_Toc512556910" w:history="1">
            <w:r w:rsidRPr="00395F6E">
              <w:rPr>
                <w:rStyle w:val="Hyperlink"/>
                <w:noProof/>
              </w:rPr>
              <w:t>m)</w:t>
            </w:r>
            <w:r>
              <w:rPr>
                <w:rFonts w:asciiTheme="minorHAnsi" w:eastAsiaTheme="minorEastAsia" w:hAnsiTheme="minorHAnsi" w:cstheme="minorBidi"/>
                <w:noProof/>
                <w:sz w:val="22"/>
                <w:lang w:val="en-GB" w:eastAsia="en-GB"/>
              </w:rPr>
              <w:tab/>
            </w:r>
            <w:r w:rsidRPr="00395F6E">
              <w:rPr>
                <w:rStyle w:val="Hyperlink"/>
                <w:noProof/>
              </w:rPr>
              <w:t>Enforcement</w:t>
            </w:r>
            <w:r>
              <w:rPr>
                <w:noProof/>
                <w:webHidden/>
              </w:rPr>
              <w:tab/>
            </w:r>
            <w:r>
              <w:rPr>
                <w:noProof/>
                <w:webHidden/>
              </w:rPr>
              <w:fldChar w:fldCharType="begin"/>
            </w:r>
            <w:r>
              <w:rPr>
                <w:noProof/>
                <w:webHidden/>
              </w:rPr>
              <w:instrText xml:space="preserve"> PAGEREF _Toc512556910 \h </w:instrText>
            </w:r>
            <w:r>
              <w:rPr>
                <w:noProof/>
                <w:webHidden/>
              </w:rPr>
            </w:r>
            <w:r>
              <w:rPr>
                <w:noProof/>
                <w:webHidden/>
              </w:rPr>
              <w:fldChar w:fldCharType="separate"/>
            </w:r>
            <w:r>
              <w:rPr>
                <w:noProof/>
                <w:webHidden/>
              </w:rPr>
              <w:t>27</w:t>
            </w:r>
            <w:r>
              <w:rPr>
                <w:noProof/>
                <w:webHidden/>
              </w:rPr>
              <w:fldChar w:fldCharType="end"/>
            </w:r>
          </w:hyperlink>
        </w:p>
        <w:p w14:paraId="52167E5E" w14:textId="6076398C" w:rsidR="00B64349" w:rsidRDefault="00B64349">
          <w:pPr>
            <w:pStyle w:val="TOC2"/>
            <w:tabs>
              <w:tab w:val="left" w:pos="720"/>
              <w:tab w:val="right" w:leader="dot" w:pos="9017"/>
            </w:tabs>
            <w:rPr>
              <w:rFonts w:asciiTheme="minorHAnsi" w:eastAsiaTheme="minorEastAsia" w:hAnsiTheme="minorHAnsi" w:cstheme="minorBidi"/>
              <w:noProof/>
              <w:sz w:val="22"/>
              <w:lang w:val="en-GB" w:eastAsia="en-GB"/>
            </w:rPr>
          </w:pPr>
          <w:hyperlink w:anchor="_Toc512556911" w:history="1">
            <w:r w:rsidRPr="00395F6E">
              <w:rPr>
                <w:rStyle w:val="Hyperlink"/>
                <w:noProof/>
              </w:rPr>
              <w:t>n)</w:t>
            </w:r>
            <w:r>
              <w:rPr>
                <w:rFonts w:asciiTheme="minorHAnsi" w:eastAsiaTheme="minorEastAsia" w:hAnsiTheme="minorHAnsi" w:cstheme="minorBidi"/>
                <w:noProof/>
                <w:sz w:val="22"/>
                <w:lang w:val="en-GB" w:eastAsia="en-GB"/>
              </w:rPr>
              <w:tab/>
            </w:r>
            <w:r w:rsidRPr="00395F6E">
              <w:rPr>
                <w:rStyle w:val="Hyperlink"/>
                <w:noProof/>
              </w:rPr>
              <w:t>Other statutory procedures</w:t>
            </w:r>
            <w:r>
              <w:rPr>
                <w:noProof/>
                <w:webHidden/>
              </w:rPr>
              <w:tab/>
            </w:r>
            <w:r>
              <w:rPr>
                <w:noProof/>
                <w:webHidden/>
              </w:rPr>
              <w:fldChar w:fldCharType="begin"/>
            </w:r>
            <w:r>
              <w:rPr>
                <w:noProof/>
                <w:webHidden/>
              </w:rPr>
              <w:instrText xml:space="preserve"> PAGEREF _Toc512556911 \h </w:instrText>
            </w:r>
            <w:r>
              <w:rPr>
                <w:noProof/>
                <w:webHidden/>
              </w:rPr>
            </w:r>
            <w:r>
              <w:rPr>
                <w:noProof/>
                <w:webHidden/>
              </w:rPr>
              <w:fldChar w:fldCharType="separate"/>
            </w:r>
            <w:r>
              <w:rPr>
                <w:noProof/>
                <w:webHidden/>
              </w:rPr>
              <w:t>27</w:t>
            </w:r>
            <w:r>
              <w:rPr>
                <w:noProof/>
                <w:webHidden/>
              </w:rPr>
              <w:fldChar w:fldCharType="end"/>
            </w:r>
          </w:hyperlink>
        </w:p>
        <w:p w14:paraId="43FACDD1" w14:textId="1ADF7F81" w:rsidR="00B64349" w:rsidRDefault="00B64349">
          <w:pPr>
            <w:pStyle w:val="TOC2"/>
            <w:tabs>
              <w:tab w:val="left" w:pos="720"/>
              <w:tab w:val="right" w:leader="dot" w:pos="9017"/>
            </w:tabs>
            <w:rPr>
              <w:rFonts w:asciiTheme="minorHAnsi" w:eastAsiaTheme="minorEastAsia" w:hAnsiTheme="minorHAnsi" w:cstheme="minorBidi"/>
              <w:noProof/>
              <w:sz w:val="22"/>
              <w:lang w:val="en-GB" w:eastAsia="en-GB"/>
            </w:rPr>
          </w:pPr>
          <w:hyperlink w:anchor="_Toc512556912" w:history="1">
            <w:r w:rsidRPr="00395F6E">
              <w:rPr>
                <w:rStyle w:val="Hyperlink"/>
                <w:noProof/>
                <w:spacing w:val="4"/>
              </w:rPr>
              <w:t>o)</w:t>
            </w:r>
            <w:r>
              <w:rPr>
                <w:rFonts w:asciiTheme="minorHAnsi" w:eastAsiaTheme="minorEastAsia" w:hAnsiTheme="minorHAnsi" w:cstheme="minorBidi"/>
                <w:noProof/>
                <w:sz w:val="22"/>
                <w:lang w:val="en-GB" w:eastAsia="en-GB"/>
              </w:rPr>
              <w:tab/>
            </w:r>
            <w:r w:rsidRPr="00395F6E">
              <w:rPr>
                <w:rStyle w:val="Hyperlink"/>
                <w:noProof/>
              </w:rPr>
              <w:t>Qualitative observations</w:t>
            </w:r>
            <w:r>
              <w:rPr>
                <w:noProof/>
                <w:webHidden/>
              </w:rPr>
              <w:tab/>
            </w:r>
            <w:r>
              <w:rPr>
                <w:noProof/>
                <w:webHidden/>
              </w:rPr>
              <w:fldChar w:fldCharType="begin"/>
            </w:r>
            <w:r>
              <w:rPr>
                <w:noProof/>
                <w:webHidden/>
              </w:rPr>
              <w:instrText xml:space="preserve"> PAGEREF _Toc512556912 \h </w:instrText>
            </w:r>
            <w:r>
              <w:rPr>
                <w:noProof/>
                <w:webHidden/>
              </w:rPr>
            </w:r>
            <w:r>
              <w:rPr>
                <w:noProof/>
                <w:webHidden/>
              </w:rPr>
              <w:fldChar w:fldCharType="separate"/>
            </w:r>
            <w:r>
              <w:rPr>
                <w:noProof/>
                <w:webHidden/>
              </w:rPr>
              <w:t>27</w:t>
            </w:r>
            <w:r>
              <w:rPr>
                <w:noProof/>
                <w:webHidden/>
              </w:rPr>
              <w:fldChar w:fldCharType="end"/>
            </w:r>
          </w:hyperlink>
        </w:p>
        <w:p w14:paraId="07B69376" w14:textId="16188D04" w:rsidR="00B64349" w:rsidRDefault="00B64349">
          <w:pPr>
            <w:pStyle w:val="TOC3"/>
            <w:tabs>
              <w:tab w:val="right" w:leader="dot" w:pos="9017"/>
            </w:tabs>
            <w:rPr>
              <w:rFonts w:asciiTheme="minorHAnsi" w:eastAsiaTheme="minorEastAsia" w:hAnsiTheme="minorHAnsi" w:cstheme="minorBidi"/>
              <w:noProof/>
              <w:sz w:val="22"/>
              <w:lang w:val="en-GB" w:eastAsia="en-GB"/>
            </w:rPr>
          </w:pPr>
          <w:hyperlink w:anchor="_Toc512556913" w:history="1">
            <w:r w:rsidRPr="00395F6E">
              <w:rPr>
                <w:rStyle w:val="Hyperlink"/>
                <w:noProof/>
              </w:rPr>
              <w:t>Lack of knowledge or understanding of S165–S167</w:t>
            </w:r>
          </w:hyperlink>
        </w:p>
        <w:p w14:paraId="0243C2C1" w14:textId="16EBB345" w:rsidR="00B64349" w:rsidRDefault="00B64349">
          <w:pPr>
            <w:pStyle w:val="TOC3"/>
            <w:tabs>
              <w:tab w:val="right" w:leader="dot" w:pos="9017"/>
            </w:tabs>
            <w:rPr>
              <w:rFonts w:asciiTheme="minorHAnsi" w:eastAsiaTheme="minorEastAsia" w:hAnsiTheme="minorHAnsi" w:cstheme="minorBidi"/>
              <w:noProof/>
              <w:sz w:val="22"/>
              <w:lang w:val="en-GB" w:eastAsia="en-GB"/>
            </w:rPr>
          </w:pPr>
          <w:hyperlink w:anchor="_Toc512556914" w:history="1">
            <w:r w:rsidRPr="00395F6E">
              <w:rPr>
                <w:rStyle w:val="Hyperlink"/>
                <w:noProof/>
              </w:rPr>
              <w:t>Licensing authorities with 100% accessible fleets</w:t>
            </w:r>
          </w:hyperlink>
        </w:p>
        <w:p w14:paraId="7C931205" w14:textId="701871CD" w:rsidR="00B64349" w:rsidRDefault="00B64349">
          <w:pPr>
            <w:pStyle w:val="TOC3"/>
            <w:tabs>
              <w:tab w:val="right" w:leader="dot" w:pos="9017"/>
            </w:tabs>
            <w:rPr>
              <w:rFonts w:asciiTheme="minorHAnsi" w:eastAsiaTheme="minorEastAsia" w:hAnsiTheme="minorHAnsi" w:cstheme="minorBidi"/>
              <w:noProof/>
              <w:sz w:val="22"/>
              <w:lang w:val="en-GB" w:eastAsia="en-GB"/>
            </w:rPr>
          </w:pPr>
          <w:hyperlink w:anchor="_Toc512556915" w:history="1">
            <w:r w:rsidRPr="00395F6E">
              <w:rPr>
                <w:rStyle w:val="Hyperlink"/>
                <w:noProof/>
              </w:rPr>
              <w:t>“Insufficient” accessible taxis</w:t>
            </w:r>
          </w:hyperlink>
        </w:p>
        <w:p w14:paraId="31273498" w14:textId="61EA10C3" w:rsidR="00B64349" w:rsidRDefault="00B64349">
          <w:pPr>
            <w:pStyle w:val="TOC1"/>
            <w:rPr>
              <w:rFonts w:asciiTheme="minorHAnsi" w:eastAsiaTheme="minorEastAsia" w:hAnsiTheme="minorHAnsi" w:cstheme="minorBidi"/>
              <w:noProof/>
              <w:sz w:val="22"/>
              <w:lang w:val="en-GB" w:eastAsia="en-GB"/>
            </w:rPr>
          </w:pPr>
          <w:hyperlink w:anchor="_Toc512556916" w:history="1">
            <w:r w:rsidRPr="00395F6E">
              <w:rPr>
                <w:rStyle w:val="Hyperlink"/>
                <w:noProof/>
              </w:rPr>
              <w:t>6.</w:t>
            </w:r>
            <w:r>
              <w:rPr>
                <w:rFonts w:asciiTheme="minorHAnsi" w:eastAsiaTheme="minorEastAsia" w:hAnsiTheme="minorHAnsi" w:cstheme="minorBidi"/>
                <w:noProof/>
                <w:sz w:val="22"/>
                <w:lang w:val="en-GB" w:eastAsia="en-GB"/>
              </w:rPr>
              <w:tab/>
            </w:r>
            <w:r w:rsidRPr="00395F6E">
              <w:rPr>
                <w:rStyle w:val="Hyperlink"/>
                <w:noProof/>
              </w:rPr>
              <w:t>Discussion</w:t>
            </w:r>
            <w:r>
              <w:rPr>
                <w:noProof/>
                <w:webHidden/>
              </w:rPr>
              <w:tab/>
            </w:r>
            <w:r>
              <w:rPr>
                <w:noProof/>
                <w:webHidden/>
              </w:rPr>
              <w:fldChar w:fldCharType="begin"/>
            </w:r>
            <w:r>
              <w:rPr>
                <w:noProof/>
                <w:webHidden/>
              </w:rPr>
              <w:instrText xml:space="preserve"> PAGEREF _Toc512556916 \h </w:instrText>
            </w:r>
            <w:r>
              <w:rPr>
                <w:noProof/>
                <w:webHidden/>
              </w:rPr>
            </w:r>
            <w:r>
              <w:rPr>
                <w:noProof/>
                <w:webHidden/>
              </w:rPr>
              <w:fldChar w:fldCharType="separate"/>
            </w:r>
            <w:r>
              <w:rPr>
                <w:noProof/>
                <w:webHidden/>
              </w:rPr>
              <w:t>29</w:t>
            </w:r>
            <w:r>
              <w:rPr>
                <w:noProof/>
                <w:webHidden/>
              </w:rPr>
              <w:fldChar w:fldCharType="end"/>
            </w:r>
          </w:hyperlink>
        </w:p>
        <w:p w14:paraId="48196F7A" w14:textId="723EDB62" w:rsidR="00B64349" w:rsidRDefault="00B64349">
          <w:pPr>
            <w:pStyle w:val="TOC2"/>
            <w:tabs>
              <w:tab w:val="left" w:pos="720"/>
              <w:tab w:val="right" w:leader="dot" w:pos="9017"/>
            </w:tabs>
            <w:rPr>
              <w:rFonts w:asciiTheme="minorHAnsi" w:eastAsiaTheme="minorEastAsia" w:hAnsiTheme="minorHAnsi" w:cstheme="minorBidi"/>
              <w:noProof/>
              <w:sz w:val="22"/>
              <w:lang w:val="en-GB" w:eastAsia="en-GB"/>
            </w:rPr>
          </w:pPr>
          <w:hyperlink w:anchor="_Toc512556917" w:history="1">
            <w:r w:rsidRPr="00395F6E">
              <w:rPr>
                <w:rStyle w:val="Hyperlink"/>
                <w:noProof/>
              </w:rPr>
              <w:t>a)</w:t>
            </w:r>
            <w:r>
              <w:rPr>
                <w:rFonts w:asciiTheme="minorHAnsi" w:eastAsiaTheme="minorEastAsia" w:hAnsiTheme="minorHAnsi" w:cstheme="minorBidi"/>
                <w:noProof/>
                <w:sz w:val="22"/>
                <w:lang w:val="en-GB" w:eastAsia="en-GB"/>
              </w:rPr>
              <w:tab/>
            </w:r>
            <w:r w:rsidRPr="00395F6E">
              <w:rPr>
                <w:rStyle w:val="Hyperlink"/>
                <w:noProof/>
              </w:rPr>
              <w:t>Importance of Taxis</w:t>
            </w:r>
            <w:r>
              <w:rPr>
                <w:noProof/>
                <w:webHidden/>
              </w:rPr>
              <w:tab/>
            </w:r>
            <w:r>
              <w:rPr>
                <w:noProof/>
                <w:webHidden/>
              </w:rPr>
              <w:fldChar w:fldCharType="begin"/>
            </w:r>
            <w:r>
              <w:rPr>
                <w:noProof/>
                <w:webHidden/>
              </w:rPr>
              <w:instrText xml:space="preserve"> PAGEREF _Toc512556917 \h </w:instrText>
            </w:r>
            <w:r>
              <w:rPr>
                <w:noProof/>
                <w:webHidden/>
              </w:rPr>
            </w:r>
            <w:r>
              <w:rPr>
                <w:noProof/>
                <w:webHidden/>
              </w:rPr>
              <w:fldChar w:fldCharType="separate"/>
            </w:r>
            <w:r>
              <w:rPr>
                <w:noProof/>
                <w:webHidden/>
              </w:rPr>
              <w:t>29</w:t>
            </w:r>
            <w:r>
              <w:rPr>
                <w:noProof/>
                <w:webHidden/>
              </w:rPr>
              <w:fldChar w:fldCharType="end"/>
            </w:r>
          </w:hyperlink>
        </w:p>
        <w:p w14:paraId="12D6875F" w14:textId="4CE44E1A" w:rsidR="00B64349" w:rsidRDefault="00B64349">
          <w:pPr>
            <w:pStyle w:val="TOC2"/>
            <w:tabs>
              <w:tab w:val="left" w:pos="720"/>
              <w:tab w:val="right" w:leader="dot" w:pos="9017"/>
            </w:tabs>
            <w:rPr>
              <w:rFonts w:asciiTheme="minorHAnsi" w:eastAsiaTheme="minorEastAsia" w:hAnsiTheme="minorHAnsi" w:cstheme="minorBidi"/>
              <w:noProof/>
              <w:sz w:val="22"/>
              <w:lang w:val="en-GB" w:eastAsia="en-GB"/>
            </w:rPr>
          </w:pPr>
          <w:hyperlink w:anchor="_Toc512556918" w:history="1">
            <w:r w:rsidRPr="00395F6E">
              <w:rPr>
                <w:rStyle w:val="Hyperlink"/>
                <w:noProof/>
              </w:rPr>
              <w:t>b)</w:t>
            </w:r>
            <w:r>
              <w:rPr>
                <w:rFonts w:asciiTheme="minorHAnsi" w:eastAsiaTheme="minorEastAsia" w:hAnsiTheme="minorHAnsi" w:cstheme="minorBidi"/>
                <w:noProof/>
                <w:sz w:val="22"/>
                <w:lang w:val="en-GB" w:eastAsia="en-GB"/>
              </w:rPr>
              <w:tab/>
            </w:r>
            <w:r w:rsidRPr="00395F6E">
              <w:rPr>
                <w:rStyle w:val="Hyperlink"/>
                <w:noProof/>
              </w:rPr>
              <w:t>S167 take-up</w:t>
            </w:r>
            <w:r>
              <w:rPr>
                <w:noProof/>
                <w:webHidden/>
              </w:rPr>
              <w:tab/>
            </w:r>
            <w:r>
              <w:rPr>
                <w:noProof/>
                <w:webHidden/>
              </w:rPr>
              <w:fldChar w:fldCharType="begin"/>
            </w:r>
            <w:r>
              <w:rPr>
                <w:noProof/>
                <w:webHidden/>
              </w:rPr>
              <w:instrText xml:space="preserve"> PAGEREF _Toc512556918 \h </w:instrText>
            </w:r>
            <w:r>
              <w:rPr>
                <w:noProof/>
                <w:webHidden/>
              </w:rPr>
            </w:r>
            <w:r>
              <w:rPr>
                <w:noProof/>
                <w:webHidden/>
              </w:rPr>
              <w:fldChar w:fldCharType="separate"/>
            </w:r>
            <w:r>
              <w:rPr>
                <w:noProof/>
                <w:webHidden/>
              </w:rPr>
              <w:t>29</w:t>
            </w:r>
            <w:r>
              <w:rPr>
                <w:noProof/>
                <w:webHidden/>
              </w:rPr>
              <w:fldChar w:fldCharType="end"/>
            </w:r>
          </w:hyperlink>
        </w:p>
        <w:p w14:paraId="4B13F824" w14:textId="104217B6" w:rsidR="00B64349" w:rsidRDefault="00B64349">
          <w:pPr>
            <w:pStyle w:val="TOC2"/>
            <w:tabs>
              <w:tab w:val="left" w:pos="720"/>
              <w:tab w:val="right" w:leader="dot" w:pos="9017"/>
            </w:tabs>
            <w:rPr>
              <w:rFonts w:asciiTheme="minorHAnsi" w:eastAsiaTheme="minorEastAsia" w:hAnsiTheme="minorHAnsi" w:cstheme="minorBidi"/>
              <w:noProof/>
              <w:sz w:val="22"/>
              <w:lang w:val="en-GB" w:eastAsia="en-GB"/>
            </w:rPr>
          </w:pPr>
          <w:hyperlink w:anchor="_Toc512556919" w:history="1">
            <w:r w:rsidRPr="00395F6E">
              <w:rPr>
                <w:rStyle w:val="Hyperlink"/>
                <w:noProof/>
              </w:rPr>
              <w:t>c)</w:t>
            </w:r>
            <w:r>
              <w:rPr>
                <w:rFonts w:asciiTheme="minorHAnsi" w:eastAsiaTheme="minorEastAsia" w:hAnsiTheme="minorHAnsi" w:cstheme="minorBidi"/>
                <w:noProof/>
                <w:sz w:val="22"/>
                <w:lang w:val="en-GB" w:eastAsia="en-GB"/>
              </w:rPr>
              <w:tab/>
            </w:r>
            <w:r w:rsidRPr="00395F6E">
              <w:rPr>
                <w:rStyle w:val="Hyperlink"/>
                <w:noProof/>
              </w:rPr>
              <w:t>S167 implementation</w:t>
            </w:r>
            <w:r>
              <w:rPr>
                <w:noProof/>
                <w:webHidden/>
              </w:rPr>
              <w:tab/>
            </w:r>
            <w:r>
              <w:rPr>
                <w:noProof/>
                <w:webHidden/>
              </w:rPr>
              <w:fldChar w:fldCharType="begin"/>
            </w:r>
            <w:r>
              <w:rPr>
                <w:noProof/>
                <w:webHidden/>
              </w:rPr>
              <w:instrText xml:space="preserve"> PAGEREF _Toc512556919 \h </w:instrText>
            </w:r>
            <w:r>
              <w:rPr>
                <w:noProof/>
                <w:webHidden/>
              </w:rPr>
            </w:r>
            <w:r>
              <w:rPr>
                <w:noProof/>
                <w:webHidden/>
              </w:rPr>
              <w:fldChar w:fldCharType="separate"/>
            </w:r>
            <w:r>
              <w:rPr>
                <w:noProof/>
                <w:webHidden/>
              </w:rPr>
              <w:t>29</w:t>
            </w:r>
            <w:r>
              <w:rPr>
                <w:noProof/>
                <w:webHidden/>
              </w:rPr>
              <w:fldChar w:fldCharType="end"/>
            </w:r>
          </w:hyperlink>
        </w:p>
        <w:p w14:paraId="5823527F" w14:textId="07BE012F" w:rsidR="00B64349" w:rsidRDefault="00B64349">
          <w:pPr>
            <w:pStyle w:val="TOC2"/>
            <w:tabs>
              <w:tab w:val="left" w:pos="720"/>
              <w:tab w:val="right" w:leader="dot" w:pos="9017"/>
            </w:tabs>
            <w:rPr>
              <w:rFonts w:asciiTheme="minorHAnsi" w:eastAsiaTheme="minorEastAsia" w:hAnsiTheme="minorHAnsi" w:cstheme="minorBidi"/>
              <w:noProof/>
              <w:sz w:val="22"/>
              <w:lang w:val="en-GB" w:eastAsia="en-GB"/>
            </w:rPr>
          </w:pPr>
          <w:hyperlink w:anchor="_Toc512556920" w:history="1">
            <w:r w:rsidRPr="00395F6E">
              <w:rPr>
                <w:rStyle w:val="Hyperlink"/>
                <w:noProof/>
              </w:rPr>
              <w:t>d)</w:t>
            </w:r>
            <w:r>
              <w:rPr>
                <w:rFonts w:asciiTheme="minorHAnsi" w:eastAsiaTheme="minorEastAsia" w:hAnsiTheme="minorHAnsi" w:cstheme="minorBidi"/>
                <w:noProof/>
                <w:sz w:val="22"/>
                <w:lang w:val="en-GB" w:eastAsia="en-GB"/>
              </w:rPr>
              <w:tab/>
            </w:r>
            <w:r w:rsidRPr="00395F6E">
              <w:rPr>
                <w:rStyle w:val="Hyperlink"/>
                <w:noProof/>
              </w:rPr>
              <w:t>Stretch goals</w:t>
            </w:r>
            <w:r>
              <w:rPr>
                <w:noProof/>
                <w:webHidden/>
              </w:rPr>
              <w:tab/>
            </w:r>
            <w:r>
              <w:rPr>
                <w:noProof/>
                <w:webHidden/>
              </w:rPr>
              <w:fldChar w:fldCharType="begin"/>
            </w:r>
            <w:r>
              <w:rPr>
                <w:noProof/>
                <w:webHidden/>
              </w:rPr>
              <w:instrText xml:space="preserve"> PAGEREF _Toc512556920 \h </w:instrText>
            </w:r>
            <w:r>
              <w:rPr>
                <w:noProof/>
                <w:webHidden/>
              </w:rPr>
            </w:r>
            <w:r>
              <w:rPr>
                <w:noProof/>
                <w:webHidden/>
              </w:rPr>
              <w:fldChar w:fldCharType="separate"/>
            </w:r>
            <w:r>
              <w:rPr>
                <w:noProof/>
                <w:webHidden/>
              </w:rPr>
              <w:t>30</w:t>
            </w:r>
            <w:r>
              <w:rPr>
                <w:noProof/>
                <w:webHidden/>
              </w:rPr>
              <w:fldChar w:fldCharType="end"/>
            </w:r>
          </w:hyperlink>
        </w:p>
        <w:p w14:paraId="5E20AEAC" w14:textId="76FB1E16" w:rsidR="00B64349" w:rsidRDefault="00B64349">
          <w:pPr>
            <w:pStyle w:val="TOC3"/>
            <w:tabs>
              <w:tab w:val="right" w:leader="dot" w:pos="9017"/>
            </w:tabs>
            <w:rPr>
              <w:rFonts w:asciiTheme="minorHAnsi" w:eastAsiaTheme="minorEastAsia" w:hAnsiTheme="minorHAnsi" w:cstheme="minorBidi"/>
              <w:noProof/>
              <w:sz w:val="22"/>
              <w:lang w:val="en-GB" w:eastAsia="en-GB"/>
            </w:rPr>
          </w:pPr>
          <w:hyperlink w:anchor="_Toc512556921" w:history="1">
            <w:r w:rsidRPr="00395F6E">
              <w:rPr>
                <w:rStyle w:val="Hyperlink"/>
                <w:noProof/>
              </w:rPr>
              <w:t>Wheelchair transfer lists</w:t>
            </w:r>
          </w:hyperlink>
        </w:p>
        <w:p w14:paraId="26D9E2D7" w14:textId="0A2EA13B" w:rsidR="00B64349" w:rsidRDefault="00B64349">
          <w:pPr>
            <w:pStyle w:val="TOC3"/>
            <w:tabs>
              <w:tab w:val="right" w:leader="dot" w:pos="9017"/>
            </w:tabs>
            <w:rPr>
              <w:rFonts w:asciiTheme="minorHAnsi" w:eastAsiaTheme="minorEastAsia" w:hAnsiTheme="minorHAnsi" w:cstheme="minorBidi"/>
              <w:noProof/>
              <w:sz w:val="22"/>
              <w:lang w:val="en-GB" w:eastAsia="en-GB"/>
            </w:rPr>
          </w:pPr>
          <w:hyperlink w:anchor="_Toc512556922" w:history="1">
            <w:r w:rsidRPr="00395F6E">
              <w:rPr>
                <w:rStyle w:val="Hyperlink"/>
                <w:noProof/>
              </w:rPr>
              <w:t>“Outsize” wheelchairs</w:t>
            </w:r>
          </w:hyperlink>
        </w:p>
        <w:p w14:paraId="0FE00A3B" w14:textId="2DF872D4" w:rsidR="00B64349" w:rsidRDefault="00B64349">
          <w:pPr>
            <w:pStyle w:val="TOC3"/>
            <w:tabs>
              <w:tab w:val="right" w:leader="dot" w:pos="9017"/>
            </w:tabs>
            <w:rPr>
              <w:rFonts w:asciiTheme="minorHAnsi" w:eastAsiaTheme="minorEastAsia" w:hAnsiTheme="minorHAnsi" w:cstheme="minorBidi"/>
              <w:noProof/>
              <w:sz w:val="22"/>
              <w:lang w:val="en-GB" w:eastAsia="en-GB"/>
            </w:rPr>
          </w:pPr>
          <w:hyperlink w:anchor="_Toc512556923" w:history="1">
            <w:r w:rsidRPr="00395F6E">
              <w:rPr>
                <w:rStyle w:val="Hyperlink"/>
                <w:noProof/>
              </w:rPr>
              <w:t>Leaving the meter running</w:t>
            </w:r>
          </w:hyperlink>
        </w:p>
        <w:p w14:paraId="20F52EC9" w14:textId="18235041" w:rsidR="00B64349" w:rsidRDefault="00B64349">
          <w:pPr>
            <w:pStyle w:val="TOC2"/>
            <w:tabs>
              <w:tab w:val="left" w:pos="720"/>
              <w:tab w:val="right" w:leader="dot" w:pos="9017"/>
            </w:tabs>
            <w:rPr>
              <w:rFonts w:asciiTheme="minorHAnsi" w:eastAsiaTheme="minorEastAsia" w:hAnsiTheme="minorHAnsi" w:cstheme="minorBidi"/>
              <w:noProof/>
              <w:sz w:val="22"/>
              <w:lang w:val="en-GB" w:eastAsia="en-GB"/>
            </w:rPr>
          </w:pPr>
          <w:hyperlink w:anchor="_Toc512556924" w:history="1">
            <w:r w:rsidRPr="00395F6E">
              <w:rPr>
                <w:rStyle w:val="Hyperlink"/>
                <w:noProof/>
              </w:rPr>
              <w:t>e)</w:t>
            </w:r>
            <w:r>
              <w:rPr>
                <w:rFonts w:asciiTheme="minorHAnsi" w:eastAsiaTheme="minorEastAsia" w:hAnsiTheme="minorHAnsi" w:cstheme="minorBidi"/>
                <w:noProof/>
                <w:sz w:val="22"/>
                <w:lang w:val="en-GB" w:eastAsia="en-GB"/>
              </w:rPr>
              <w:tab/>
            </w:r>
            <w:r w:rsidRPr="00395F6E">
              <w:rPr>
                <w:rStyle w:val="Hyperlink"/>
                <w:noProof/>
              </w:rPr>
              <w:t>Areas with poor provision</w:t>
            </w:r>
            <w:r>
              <w:rPr>
                <w:noProof/>
                <w:webHidden/>
              </w:rPr>
              <w:tab/>
            </w:r>
            <w:r>
              <w:rPr>
                <w:noProof/>
                <w:webHidden/>
              </w:rPr>
              <w:fldChar w:fldCharType="begin"/>
            </w:r>
            <w:r>
              <w:rPr>
                <w:noProof/>
                <w:webHidden/>
              </w:rPr>
              <w:instrText xml:space="preserve"> PAGEREF _Toc512556924 \h </w:instrText>
            </w:r>
            <w:r>
              <w:rPr>
                <w:noProof/>
                <w:webHidden/>
              </w:rPr>
            </w:r>
            <w:r>
              <w:rPr>
                <w:noProof/>
                <w:webHidden/>
              </w:rPr>
              <w:fldChar w:fldCharType="separate"/>
            </w:r>
            <w:r>
              <w:rPr>
                <w:noProof/>
                <w:webHidden/>
              </w:rPr>
              <w:t>31</w:t>
            </w:r>
            <w:r>
              <w:rPr>
                <w:noProof/>
                <w:webHidden/>
              </w:rPr>
              <w:fldChar w:fldCharType="end"/>
            </w:r>
          </w:hyperlink>
        </w:p>
        <w:p w14:paraId="79109514" w14:textId="2FAA3941" w:rsidR="00B64349" w:rsidRDefault="00B64349">
          <w:pPr>
            <w:pStyle w:val="TOC2"/>
            <w:tabs>
              <w:tab w:val="left" w:pos="720"/>
              <w:tab w:val="right" w:leader="dot" w:pos="9017"/>
            </w:tabs>
            <w:rPr>
              <w:rFonts w:asciiTheme="minorHAnsi" w:eastAsiaTheme="minorEastAsia" w:hAnsiTheme="minorHAnsi" w:cstheme="minorBidi"/>
              <w:noProof/>
              <w:sz w:val="22"/>
              <w:lang w:val="en-GB" w:eastAsia="en-GB"/>
            </w:rPr>
          </w:pPr>
          <w:hyperlink w:anchor="_Toc512556925" w:history="1">
            <w:r w:rsidRPr="00395F6E">
              <w:rPr>
                <w:rStyle w:val="Hyperlink"/>
                <w:noProof/>
              </w:rPr>
              <w:t>f)</w:t>
            </w:r>
            <w:r>
              <w:rPr>
                <w:rFonts w:asciiTheme="minorHAnsi" w:eastAsiaTheme="minorEastAsia" w:hAnsiTheme="minorHAnsi" w:cstheme="minorBidi"/>
                <w:noProof/>
                <w:sz w:val="22"/>
                <w:lang w:val="en-GB" w:eastAsia="en-GB"/>
              </w:rPr>
              <w:tab/>
            </w:r>
            <w:r w:rsidRPr="00395F6E">
              <w:rPr>
                <w:rStyle w:val="Hyperlink"/>
                <w:noProof/>
              </w:rPr>
              <w:t>Unclear guidance</w:t>
            </w:r>
            <w:r>
              <w:rPr>
                <w:noProof/>
                <w:webHidden/>
              </w:rPr>
              <w:tab/>
            </w:r>
            <w:r>
              <w:rPr>
                <w:noProof/>
                <w:webHidden/>
              </w:rPr>
              <w:fldChar w:fldCharType="begin"/>
            </w:r>
            <w:r>
              <w:rPr>
                <w:noProof/>
                <w:webHidden/>
              </w:rPr>
              <w:instrText xml:space="preserve"> PAGEREF _Toc512556925 \h </w:instrText>
            </w:r>
            <w:r>
              <w:rPr>
                <w:noProof/>
                <w:webHidden/>
              </w:rPr>
            </w:r>
            <w:r>
              <w:rPr>
                <w:noProof/>
                <w:webHidden/>
              </w:rPr>
              <w:fldChar w:fldCharType="separate"/>
            </w:r>
            <w:r>
              <w:rPr>
                <w:noProof/>
                <w:webHidden/>
              </w:rPr>
              <w:t>31</w:t>
            </w:r>
            <w:r>
              <w:rPr>
                <w:noProof/>
                <w:webHidden/>
              </w:rPr>
              <w:fldChar w:fldCharType="end"/>
            </w:r>
          </w:hyperlink>
        </w:p>
        <w:p w14:paraId="0C342C16" w14:textId="34899E83" w:rsidR="00B64349" w:rsidRDefault="00B64349">
          <w:pPr>
            <w:pStyle w:val="TOC2"/>
            <w:tabs>
              <w:tab w:val="left" w:pos="720"/>
              <w:tab w:val="right" w:leader="dot" w:pos="9017"/>
            </w:tabs>
            <w:rPr>
              <w:rFonts w:asciiTheme="minorHAnsi" w:eastAsiaTheme="minorEastAsia" w:hAnsiTheme="minorHAnsi" w:cstheme="minorBidi"/>
              <w:noProof/>
              <w:sz w:val="22"/>
              <w:lang w:val="en-GB" w:eastAsia="en-GB"/>
            </w:rPr>
          </w:pPr>
          <w:hyperlink w:anchor="_Toc512556926" w:history="1">
            <w:r w:rsidRPr="00395F6E">
              <w:rPr>
                <w:rStyle w:val="Hyperlink"/>
                <w:noProof/>
              </w:rPr>
              <w:t>g)</w:t>
            </w:r>
            <w:r>
              <w:rPr>
                <w:rFonts w:asciiTheme="minorHAnsi" w:eastAsiaTheme="minorEastAsia" w:hAnsiTheme="minorHAnsi" w:cstheme="minorBidi"/>
                <w:noProof/>
                <w:sz w:val="22"/>
                <w:lang w:val="en-GB" w:eastAsia="en-GB"/>
              </w:rPr>
              <w:tab/>
            </w:r>
            <w:r w:rsidRPr="00395F6E">
              <w:rPr>
                <w:rStyle w:val="Hyperlink"/>
                <w:noProof/>
              </w:rPr>
              <w:t>Lack of enforcement</w:t>
            </w:r>
            <w:r>
              <w:rPr>
                <w:noProof/>
                <w:webHidden/>
              </w:rPr>
              <w:tab/>
            </w:r>
            <w:r>
              <w:rPr>
                <w:noProof/>
                <w:webHidden/>
              </w:rPr>
              <w:fldChar w:fldCharType="begin"/>
            </w:r>
            <w:r>
              <w:rPr>
                <w:noProof/>
                <w:webHidden/>
              </w:rPr>
              <w:instrText xml:space="preserve"> PAGEREF _Toc512556926 \h </w:instrText>
            </w:r>
            <w:r>
              <w:rPr>
                <w:noProof/>
                <w:webHidden/>
              </w:rPr>
            </w:r>
            <w:r>
              <w:rPr>
                <w:noProof/>
                <w:webHidden/>
              </w:rPr>
              <w:fldChar w:fldCharType="separate"/>
            </w:r>
            <w:r>
              <w:rPr>
                <w:noProof/>
                <w:webHidden/>
              </w:rPr>
              <w:t>31</w:t>
            </w:r>
            <w:r>
              <w:rPr>
                <w:noProof/>
                <w:webHidden/>
              </w:rPr>
              <w:fldChar w:fldCharType="end"/>
            </w:r>
          </w:hyperlink>
        </w:p>
        <w:p w14:paraId="488BF95F" w14:textId="18B85675" w:rsidR="00B64349" w:rsidRDefault="00B64349">
          <w:pPr>
            <w:pStyle w:val="TOC2"/>
            <w:tabs>
              <w:tab w:val="left" w:pos="720"/>
              <w:tab w:val="right" w:leader="dot" w:pos="9017"/>
            </w:tabs>
            <w:rPr>
              <w:rFonts w:asciiTheme="minorHAnsi" w:eastAsiaTheme="minorEastAsia" w:hAnsiTheme="minorHAnsi" w:cstheme="minorBidi"/>
              <w:noProof/>
              <w:sz w:val="22"/>
              <w:lang w:val="en-GB" w:eastAsia="en-GB"/>
            </w:rPr>
          </w:pPr>
          <w:hyperlink w:anchor="_Toc512556927" w:history="1">
            <w:r w:rsidRPr="00395F6E">
              <w:rPr>
                <w:rStyle w:val="Hyperlink"/>
                <w:noProof/>
              </w:rPr>
              <w:t>h)</w:t>
            </w:r>
            <w:r>
              <w:rPr>
                <w:rFonts w:asciiTheme="minorHAnsi" w:eastAsiaTheme="minorEastAsia" w:hAnsiTheme="minorHAnsi" w:cstheme="minorBidi"/>
                <w:noProof/>
                <w:sz w:val="22"/>
                <w:lang w:val="en-GB" w:eastAsia="en-GB"/>
              </w:rPr>
              <w:tab/>
            </w:r>
            <w:r w:rsidRPr="00395F6E">
              <w:rPr>
                <w:rStyle w:val="Hyperlink"/>
                <w:noProof/>
              </w:rPr>
              <w:t>Failure of the legislation</w:t>
            </w:r>
            <w:r>
              <w:rPr>
                <w:noProof/>
                <w:webHidden/>
              </w:rPr>
              <w:tab/>
            </w:r>
            <w:r>
              <w:rPr>
                <w:noProof/>
                <w:webHidden/>
              </w:rPr>
              <w:fldChar w:fldCharType="begin"/>
            </w:r>
            <w:r>
              <w:rPr>
                <w:noProof/>
                <w:webHidden/>
              </w:rPr>
              <w:instrText xml:space="preserve"> PAGEREF _Toc512556927 \h </w:instrText>
            </w:r>
            <w:r>
              <w:rPr>
                <w:noProof/>
                <w:webHidden/>
              </w:rPr>
            </w:r>
            <w:r>
              <w:rPr>
                <w:noProof/>
                <w:webHidden/>
              </w:rPr>
              <w:fldChar w:fldCharType="separate"/>
            </w:r>
            <w:r>
              <w:rPr>
                <w:noProof/>
                <w:webHidden/>
              </w:rPr>
              <w:t>32</w:t>
            </w:r>
            <w:r>
              <w:rPr>
                <w:noProof/>
                <w:webHidden/>
              </w:rPr>
              <w:fldChar w:fldCharType="end"/>
            </w:r>
          </w:hyperlink>
        </w:p>
        <w:p w14:paraId="3CEA7FE3" w14:textId="1F0E8515" w:rsidR="00B64349" w:rsidRDefault="00B64349">
          <w:pPr>
            <w:pStyle w:val="TOC1"/>
            <w:rPr>
              <w:rFonts w:asciiTheme="minorHAnsi" w:eastAsiaTheme="minorEastAsia" w:hAnsiTheme="minorHAnsi" w:cstheme="minorBidi"/>
              <w:noProof/>
              <w:sz w:val="22"/>
              <w:lang w:val="en-GB" w:eastAsia="en-GB"/>
            </w:rPr>
          </w:pPr>
          <w:hyperlink w:anchor="_Toc512556928" w:history="1">
            <w:r w:rsidRPr="00395F6E">
              <w:rPr>
                <w:rStyle w:val="Hyperlink"/>
                <w:noProof/>
              </w:rPr>
              <w:t>7.</w:t>
            </w:r>
            <w:r>
              <w:rPr>
                <w:rFonts w:asciiTheme="minorHAnsi" w:eastAsiaTheme="minorEastAsia" w:hAnsiTheme="minorHAnsi" w:cstheme="minorBidi"/>
                <w:noProof/>
                <w:sz w:val="22"/>
                <w:lang w:val="en-GB" w:eastAsia="en-GB"/>
              </w:rPr>
              <w:tab/>
            </w:r>
            <w:r w:rsidRPr="00395F6E">
              <w:rPr>
                <w:rStyle w:val="Hyperlink"/>
                <w:noProof/>
              </w:rPr>
              <w:t>Conclusion</w:t>
            </w:r>
            <w:r>
              <w:rPr>
                <w:noProof/>
                <w:webHidden/>
              </w:rPr>
              <w:tab/>
            </w:r>
            <w:r>
              <w:rPr>
                <w:noProof/>
                <w:webHidden/>
              </w:rPr>
              <w:fldChar w:fldCharType="begin"/>
            </w:r>
            <w:r>
              <w:rPr>
                <w:noProof/>
                <w:webHidden/>
              </w:rPr>
              <w:instrText xml:space="preserve"> PAGEREF _Toc512556928 \h </w:instrText>
            </w:r>
            <w:r>
              <w:rPr>
                <w:noProof/>
                <w:webHidden/>
              </w:rPr>
            </w:r>
            <w:r>
              <w:rPr>
                <w:noProof/>
                <w:webHidden/>
              </w:rPr>
              <w:fldChar w:fldCharType="separate"/>
            </w:r>
            <w:r>
              <w:rPr>
                <w:noProof/>
                <w:webHidden/>
              </w:rPr>
              <w:t>33</w:t>
            </w:r>
            <w:r>
              <w:rPr>
                <w:noProof/>
                <w:webHidden/>
              </w:rPr>
              <w:fldChar w:fldCharType="end"/>
            </w:r>
          </w:hyperlink>
        </w:p>
        <w:p w14:paraId="0B390128" w14:textId="4E15605B" w:rsidR="00B64349" w:rsidRDefault="00B64349">
          <w:pPr>
            <w:pStyle w:val="TOC1"/>
            <w:rPr>
              <w:rFonts w:asciiTheme="minorHAnsi" w:eastAsiaTheme="minorEastAsia" w:hAnsiTheme="minorHAnsi" w:cstheme="minorBidi"/>
              <w:noProof/>
              <w:sz w:val="22"/>
              <w:lang w:val="en-GB" w:eastAsia="en-GB"/>
            </w:rPr>
          </w:pPr>
          <w:hyperlink w:anchor="_Toc512556929" w:history="1">
            <w:r w:rsidRPr="00395F6E">
              <w:rPr>
                <w:rStyle w:val="Hyperlink"/>
                <w:noProof/>
              </w:rPr>
              <w:t>8.</w:t>
            </w:r>
            <w:r>
              <w:rPr>
                <w:rFonts w:asciiTheme="minorHAnsi" w:eastAsiaTheme="minorEastAsia" w:hAnsiTheme="minorHAnsi" w:cstheme="minorBidi"/>
                <w:noProof/>
                <w:sz w:val="22"/>
                <w:lang w:val="en-GB" w:eastAsia="en-GB"/>
              </w:rPr>
              <w:tab/>
            </w:r>
            <w:r w:rsidRPr="00395F6E">
              <w:rPr>
                <w:rStyle w:val="Hyperlink"/>
                <w:noProof/>
              </w:rPr>
              <w:t>Recommendations</w:t>
            </w:r>
            <w:r>
              <w:rPr>
                <w:noProof/>
                <w:webHidden/>
              </w:rPr>
              <w:tab/>
            </w:r>
            <w:r>
              <w:rPr>
                <w:noProof/>
                <w:webHidden/>
              </w:rPr>
              <w:fldChar w:fldCharType="begin"/>
            </w:r>
            <w:r>
              <w:rPr>
                <w:noProof/>
                <w:webHidden/>
              </w:rPr>
              <w:instrText xml:space="preserve"> PAGEREF _Toc512556929 \h </w:instrText>
            </w:r>
            <w:r>
              <w:rPr>
                <w:noProof/>
                <w:webHidden/>
              </w:rPr>
            </w:r>
            <w:r>
              <w:rPr>
                <w:noProof/>
                <w:webHidden/>
              </w:rPr>
              <w:fldChar w:fldCharType="separate"/>
            </w:r>
            <w:r>
              <w:rPr>
                <w:noProof/>
                <w:webHidden/>
              </w:rPr>
              <w:t>34</w:t>
            </w:r>
            <w:r>
              <w:rPr>
                <w:noProof/>
                <w:webHidden/>
              </w:rPr>
              <w:fldChar w:fldCharType="end"/>
            </w:r>
          </w:hyperlink>
        </w:p>
        <w:p w14:paraId="24EE1F45" w14:textId="63007F1F" w:rsidR="00B64349" w:rsidRDefault="00B64349">
          <w:pPr>
            <w:pStyle w:val="TOC2"/>
            <w:tabs>
              <w:tab w:val="left" w:pos="720"/>
              <w:tab w:val="right" w:leader="dot" w:pos="9017"/>
            </w:tabs>
            <w:rPr>
              <w:rFonts w:asciiTheme="minorHAnsi" w:eastAsiaTheme="minorEastAsia" w:hAnsiTheme="minorHAnsi" w:cstheme="minorBidi"/>
              <w:noProof/>
              <w:sz w:val="22"/>
              <w:lang w:val="en-GB" w:eastAsia="en-GB"/>
            </w:rPr>
          </w:pPr>
          <w:hyperlink w:anchor="_Toc512556930" w:history="1">
            <w:r w:rsidRPr="00395F6E">
              <w:rPr>
                <w:rStyle w:val="Hyperlink"/>
                <w:noProof/>
              </w:rPr>
              <w:t>a)</w:t>
            </w:r>
            <w:r>
              <w:rPr>
                <w:rFonts w:asciiTheme="minorHAnsi" w:eastAsiaTheme="minorEastAsia" w:hAnsiTheme="minorHAnsi" w:cstheme="minorBidi"/>
                <w:noProof/>
                <w:sz w:val="22"/>
                <w:lang w:val="en-GB" w:eastAsia="en-GB"/>
              </w:rPr>
              <w:tab/>
            </w:r>
            <w:r w:rsidRPr="00395F6E">
              <w:rPr>
                <w:rStyle w:val="Hyperlink"/>
                <w:noProof/>
              </w:rPr>
              <w:t>To the Department for Transport</w:t>
            </w:r>
            <w:r>
              <w:rPr>
                <w:noProof/>
                <w:webHidden/>
              </w:rPr>
              <w:tab/>
            </w:r>
            <w:r>
              <w:rPr>
                <w:noProof/>
                <w:webHidden/>
              </w:rPr>
              <w:fldChar w:fldCharType="begin"/>
            </w:r>
            <w:r>
              <w:rPr>
                <w:noProof/>
                <w:webHidden/>
              </w:rPr>
              <w:instrText xml:space="preserve"> PAGEREF _Toc512556930 \h </w:instrText>
            </w:r>
            <w:r>
              <w:rPr>
                <w:noProof/>
                <w:webHidden/>
              </w:rPr>
            </w:r>
            <w:r>
              <w:rPr>
                <w:noProof/>
                <w:webHidden/>
              </w:rPr>
              <w:fldChar w:fldCharType="separate"/>
            </w:r>
            <w:r>
              <w:rPr>
                <w:noProof/>
                <w:webHidden/>
              </w:rPr>
              <w:t>34</w:t>
            </w:r>
            <w:r>
              <w:rPr>
                <w:noProof/>
                <w:webHidden/>
              </w:rPr>
              <w:fldChar w:fldCharType="end"/>
            </w:r>
          </w:hyperlink>
        </w:p>
        <w:p w14:paraId="5E325555" w14:textId="32B271AC" w:rsidR="00B64349" w:rsidRDefault="00B64349">
          <w:pPr>
            <w:pStyle w:val="TOC2"/>
            <w:tabs>
              <w:tab w:val="left" w:pos="720"/>
              <w:tab w:val="right" w:leader="dot" w:pos="9017"/>
            </w:tabs>
            <w:rPr>
              <w:rFonts w:asciiTheme="minorHAnsi" w:eastAsiaTheme="minorEastAsia" w:hAnsiTheme="minorHAnsi" w:cstheme="minorBidi"/>
              <w:noProof/>
              <w:sz w:val="22"/>
              <w:lang w:val="en-GB" w:eastAsia="en-GB"/>
            </w:rPr>
          </w:pPr>
          <w:hyperlink w:anchor="_Toc512556931" w:history="1">
            <w:r w:rsidRPr="00395F6E">
              <w:rPr>
                <w:rStyle w:val="Hyperlink"/>
                <w:noProof/>
              </w:rPr>
              <w:t>b)</w:t>
            </w:r>
            <w:r>
              <w:rPr>
                <w:rFonts w:asciiTheme="minorHAnsi" w:eastAsiaTheme="minorEastAsia" w:hAnsiTheme="minorHAnsi" w:cstheme="minorBidi"/>
                <w:noProof/>
                <w:sz w:val="22"/>
                <w:lang w:val="en-GB" w:eastAsia="en-GB"/>
              </w:rPr>
              <w:tab/>
            </w:r>
            <w:r w:rsidRPr="00395F6E">
              <w:rPr>
                <w:rStyle w:val="Hyperlink"/>
                <w:noProof/>
              </w:rPr>
              <w:t>To Local Authorities and TFL</w:t>
            </w:r>
            <w:r>
              <w:rPr>
                <w:noProof/>
                <w:webHidden/>
              </w:rPr>
              <w:tab/>
            </w:r>
            <w:r>
              <w:rPr>
                <w:noProof/>
                <w:webHidden/>
              </w:rPr>
              <w:fldChar w:fldCharType="begin"/>
            </w:r>
            <w:r>
              <w:rPr>
                <w:noProof/>
                <w:webHidden/>
              </w:rPr>
              <w:instrText xml:space="preserve"> PAGEREF _Toc512556931 \h </w:instrText>
            </w:r>
            <w:r>
              <w:rPr>
                <w:noProof/>
                <w:webHidden/>
              </w:rPr>
            </w:r>
            <w:r>
              <w:rPr>
                <w:noProof/>
                <w:webHidden/>
              </w:rPr>
              <w:fldChar w:fldCharType="separate"/>
            </w:r>
            <w:r>
              <w:rPr>
                <w:noProof/>
                <w:webHidden/>
              </w:rPr>
              <w:t>34</w:t>
            </w:r>
            <w:r>
              <w:rPr>
                <w:noProof/>
                <w:webHidden/>
              </w:rPr>
              <w:fldChar w:fldCharType="end"/>
            </w:r>
          </w:hyperlink>
        </w:p>
        <w:p w14:paraId="4C0091B8" w14:textId="1118E594" w:rsidR="00B64349" w:rsidRDefault="00B64349">
          <w:pPr>
            <w:pStyle w:val="TOC2"/>
            <w:tabs>
              <w:tab w:val="left" w:pos="720"/>
              <w:tab w:val="right" w:leader="dot" w:pos="9017"/>
            </w:tabs>
            <w:rPr>
              <w:rFonts w:asciiTheme="minorHAnsi" w:eastAsiaTheme="minorEastAsia" w:hAnsiTheme="minorHAnsi" w:cstheme="minorBidi"/>
              <w:noProof/>
              <w:sz w:val="22"/>
              <w:lang w:val="en-GB" w:eastAsia="en-GB"/>
            </w:rPr>
          </w:pPr>
          <w:hyperlink w:anchor="_Toc512556932" w:history="1">
            <w:r w:rsidRPr="00395F6E">
              <w:rPr>
                <w:rStyle w:val="Hyperlink"/>
                <w:noProof/>
              </w:rPr>
              <w:t>c)</w:t>
            </w:r>
            <w:r>
              <w:rPr>
                <w:rFonts w:asciiTheme="minorHAnsi" w:eastAsiaTheme="minorEastAsia" w:hAnsiTheme="minorHAnsi" w:cstheme="minorBidi"/>
                <w:noProof/>
                <w:sz w:val="22"/>
                <w:lang w:val="en-GB" w:eastAsia="en-GB"/>
              </w:rPr>
              <w:tab/>
            </w:r>
            <w:r w:rsidRPr="00395F6E">
              <w:rPr>
                <w:rStyle w:val="Hyperlink"/>
                <w:noProof/>
              </w:rPr>
              <w:t>To disabled people, disabled people’s organisations and allies</w:t>
            </w:r>
            <w:r>
              <w:rPr>
                <w:noProof/>
                <w:webHidden/>
              </w:rPr>
              <w:tab/>
            </w:r>
            <w:r>
              <w:rPr>
                <w:noProof/>
                <w:webHidden/>
              </w:rPr>
              <w:fldChar w:fldCharType="begin"/>
            </w:r>
            <w:r>
              <w:rPr>
                <w:noProof/>
                <w:webHidden/>
              </w:rPr>
              <w:instrText xml:space="preserve"> PAGEREF _Toc512556932 \h </w:instrText>
            </w:r>
            <w:r>
              <w:rPr>
                <w:noProof/>
                <w:webHidden/>
              </w:rPr>
            </w:r>
            <w:r>
              <w:rPr>
                <w:noProof/>
                <w:webHidden/>
              </w:rPr>
              <w:fldChar w:fldCharType="separate"/>
            </w:r>
            <w:r>
              <w:rPr>
                <w:noProof/>
                <w:webHidden/>
              </w:rPr>
              <w:t>34</w:t>
            </w:r>
            <w:r>
              <w:rPr>
                <w:noProof/>
                <w:webHidden/>
              </w:rPr>
              <w:fldChar w:fldCharType="end"/>
            </w:r>
          </w:hyperlink>
        </w:p>
        <w:p w14:paraId="4CE312A4" w14:textId="3A1A4C5A" w:rsidR="00B64349" w:rsidRDefault="00B64349">
          <w:pPr>
            <w:pStyle w:val="TOC1"/>
            <w:rPr>
              <w:rFonts w:asciiTheme="minorHAnsi" w:eastAsiaTheme="minorEastAsia" w:hAnsiTheme="minorHAnsi" w:cstheme="minorBidi"/>
              <w:noProof/>
              <w:sz w:val="22"/>
              <w:lang w:val="en-GB" w:eastAsia="en-GB"/>
            </w:rPr>
          </w:pPr>
          <w:hyperlink w:anchor="_Toc512556933" w:history="1">
            <w:r w:rsidRPr="00395F6E">
              <w:rPr>
                <w:rStyle w:val="Hyperlink"/>
                <w:noProof/>
              </w:rPr>
              <w:t>9.</w:t>
            </w:r>
            <w:r>
              <w:rPr>
                <w:rFonts w:asciiTheme="minorHAnsi" w:eastAsiaTheme="minorEastAsia" w:hAnsiTheme="minorHAnsi" w:cstheme="minorBidi"/>
                <w:noProof/>
                <w:sz w:val="22"/>
                <w:lang w:val="en-GB" w:eastAsia="en-GB"/>
              </w:rPr>
              <w:tab/>
            </w:r>
            <w:r w:rsidRPr="00395F6E">
              <w:rPr>
                <w:rStyle w:val="Hyperlink"/>
                <w:noProof/>
              </w:rPr>
              <w:t>Appendices</w:t>
            </w:r>
            <w:r>
              <w:rPr>
                <w:noProof/>
                <w:webHidden/>
              </w:rPr>
              <w:tab/>
            </w:r>
            <w:r>
              <w:rPr>
                <w:noProof/>
                <w:webHidden/>
              </w:rPr>
              <w:fldChar w:fldCharType="begin"/>
            </w:r>
            <w:r>
              <w:rPr>
                <w:noProof/>
                <w:webHidden/>
              </w:rPr>
              <w:instrText xml:space="preserve"> PAGEREF _Toc512556933 \h </w:instrText>
            </w:r>
            <w:r>
              <w:rPr>
                <w:noProof/>
                <w:webHidden/>
              </w:rPr>
            </w:r>
            <w:r>
              <w:rPr>
                <w:noProof/>
                <w:webHidden/>
              </w:rPr>
              <w:fldChar w:fldCharType="separate"/>
            </w:r>
            <w:r>
              <w:rPr>
                <w:noProof/>
                <w:webHidden/>
              </w:rPr>
              <w:t>35</w:t>
            </w:r>
            <w:r>
              <w:rPr>
                <w:noProof/>
                <w:webHidden/>
              </w:rPr>
              <w:fldChar w:fldCharType="end"/>
            </w:r>
          </w:hyperlink>
        </w:p>
        <w:p w14:paraId="3E4EEC67" w14:textId="0C3C1552" w:rsidR="00B64349" w:rsidRDefault="00B64349">
          <w:pPr>
            <w:pStyle w:val="TOC2"/>
            <w:tabs>
              <w:tab w:val="right" w:leader="dot" w:pos="9017"/>
            </w:tabs>
            <w:rPr>
              <w:rFonts w:asciiTheme="minorHAnsi" w:eastAsiaTheme="minorEastAsia" w:hAnsiTheme="minorHAnsi" w:cstheme="minorBidi"/>
              <w:noProof/>
              <w:sz w:val="22"/>
              <w:lang w:val="en-GB" w:eastAsia="en-GB"/>
            </w:rPr>
          </w:pPr>
          <w:hyperlink w:anchor="_Toc512556934" w:history="1">
            <w:r w:rsidRPr="00395F6E">
              <w:rPr>
                <w:rStyle w:val="Hyperlink"/>
                <w:noProof/>
              </w:rPr>
              <w:t>Appendix 1: Sample Freedom of Information request</w:t>
            </w:r>
            <w:r>
              <w:rPr>
                <w:noProof/>
                <w:webHidden/>
              </w:rPr>
              <w:tab/>
            </w:r>
            <w:r>
              <w:rPr>
                <w:noProof/>
                <w:webHidden/>
              </w:rPr>
              <w:fldChar w:fldCharType="begin"/>
            </w:r>
            <w:r>
              <w:rPr>
                <w:noProof/>
                <w:webHidden/>
              </w:rPr>
              <w:instrText xml:space="preserve"> PAGEREF _Toc512556934 \h </w:instrText>
            </w:r>
            <w:r>
              <w:rPr>
                <w:noProof/>
                <w:webHidden/>
              </w:rPr>
            </w:r>
            <w:r>
              <w:rPr>
                <w:noProof/>
                <w:webHidden/>
              </w:rPr>
              <w:fldChar w:fldCharType="separate"/>
            </w:r>
            <w:r>
              <w:rPr>
                <w:noProof/>
                <w:webHidden/>
              </w:rPr>
              <w:t>35</w:t>
            </w:r>
            <w:r>
              <w:rPr>
                <w:noProof/>
                <w:webHidden/>
              </w:rPr>
              <w:fldChar w:fldCharType="end"/>
            </w:r>
          </w:hyperlink>
        </w:p>
        <w:p w14:paraId="74D0088D" w14:textId="49146FEF" w:rsidR="00B64349" w:rsidRDefault="00B64349">
          <w:pPr>
            <w:pStyle w:val="TOC2"/>
            <w:tabs>
              <w:tab w:val="right" w:leader="dot" w:pos="9017"/>
            </w:tabs>
            <w:rPr>
              <w:rFonts w:asciiTheme="minorHAnsi" w:eastAsiaTheme="minorEastAsia" w:hAnsiTheme="minorHAnsi" w:cstheme="minorBidi"/>
              <w:noProof/>
              <w:sz w:val="22"/>
              <w:lang w:val="en-GB" w:eastAsia="en-GB"/>
            </w:rPr>
          </w:pPr>
          <w:hyperlink w:anchor="_Toc512556935" w:history="1">
            <w:r w:rsidRPr="00395F6E">
              <w:rPr>
                <w:rStyle w:val="Hyperlink"/>
                <w:noProof/>
              </w:rPr>
              <w:t>Appendix 2: Acknowledgements</w:t>
            </w:r>
            <w:r>
              <w:rPr>
                <w:noProof/>
                <w:webHidden/>
              </w:rPr>
              <w:tab/>
            </w:r>
            <w:r>
              <w:rPr>
                <w:noProof/>
                <w:webHidden/>
              </w:rPr>
              <w:fldChar w:fldCharType="begin"/>
            </w:r>
            <w:r>
              <w:rPr>
                <w:noProof/>
                <w:webHidden/>
              </w:rPr>
              <w:instrText xml:space="preserve"> PAGEREF _Toc512556935 \h </w:instrText>
            </w:r>
            <w:r>
              <w:rPr>
                <w:noProof/>
                <w:webHidden/>
              </w:rPr>
            </w:r>
            <w:r>
              <w:rPr>
                <w:noProof/>
                <w:webHidden/>
              </w:rPr>
              <w:fldChar w:fldCharType="separate"/>
            </w:r>
            <w:r>
              <w:rPr>
                <w:noProof/>
                <w:webHidden/>
              </w:rPr>
              <w:t>39</w:t>
            </w:r>
            <w:r>
              <w:rPr>
                <w:noProof/>
                <w:webHidden/>
              </w:rPr>
              <w:fldChar w:fldCharType="end"/>
            </w:r>
          </w:hyperlink>
        </w:p>
        <w:p w14:paraId="6BE500F5" w14:textId="4530B892" w:rsidR="00B64349" w:rsidRDefault="00B64349">
          <w:pPr>
            <w:pStyle w:val="TOC2"/>
            <w:tabs>
              <w:tab w:val="right" w:leader="dot" w:pos="9017"/>
            </w:tabs>
            <w:rPr>
              <w:rFonts w:asciiTheme="minorHAnsi" w:eastAsiaTheme="minorEastAsia" w:hAnsiTheme="minorHAnsi" w:cstheme="minorBidi"/>
              <w:noProof/>
              <w:sz w:val="22"/>
              <w:lang w:val="en-GB" w:eastAsia="en-GB"/>
            </w:rPr>
          </w:pPr>
          <w:hyperlink w:anchor="_Toc512556936" w:history="1">
            <w:r w:rsidRPr="00395F6E">
              <w:rPr>
                <w:rStyle w:val="Hyperlink"/>
                <w:noProof/>
              </w:rPr>
              <w:t>Appendix 3: Licensing</w:t>
            </w:r>
            <w:r>
              <w:rPr>
                <w:noProof/>
                <w:webHidden/>
              </w:rPr>
              <w:tab/>
            </w:r>
            <w:r>
              <w:rPr>
                <w:noProof/>
                <w:webHidden/>
              </w:rPr>
              <w:fldChar w:fldCharType="begin"/>
            </w:r>
            <w:r>
              <w:rPr>
                <w:noProof/>
                <w:webHidden/>
              </w:rPr>
              <w:instrText xml:space="preserve"> PAGEREF _Toc512556936 \h </w:instrText>
            </w:r>
            <w:r>
              <w:rPr>
                <w:noProof/>
                <w:webHidden/>
              </w:rPr>
            </w:r>
            <w:r>
              <w:rPr>
                <w:noProof/>
                <w:webHidden/>
              </w:rPr>
              <w:fldChar w:fldCharType="separate"/>
            </w:r>
            <w:r>
              <w:rPr>
                <w:noProof/>
                <w:webHidden/>
              </w:rPr>
              <w:t>39</w:t>
            </w:r>
            <w:r>
              <w:rPr>
                <w:noProof/>
                <w:webHidden/>
              </w:rPr>
              <w:fldChar w:fldCharType="end"/>
            </w:r>
          </w:hyperlink>
        </w:p>
        <w:p w14:paraId="4B629B08" w14:textId="21FEABB1" w:rsidR="00B64349" w:rsidRDefault="00B64349">
          <w:pPr>
            <w:pStyle w:val="TOC2"/>
            <w:tabs>
              <w:tab w:val="right" w:leader="dot" w:pos="9017"/>
            </w:tabs>
            <w:rPr>
              <w:rFonts w:asciiTheme="minorHAnsi" w:eastAsiaTheme="minorEastAsia" w:hAnsiTheme="minorHAnsi" w:cstheme="minorBidi"/>
              <w:noProof/>
              <w:sz w:val="22"/>
              <w:lang w:val="en-GB" w:eastAsia="en-GB"/>
            </w:rPr>
          </w:pPr>
          <w:hyperlink w:anchor="_Toc512556937" w:history="1">
            <w:r w:rsidRPr="00395F6E">
              <w:rPr>
                <w:rStyle w:val="Hyperlink"/>
                <w:noProof/>
              </w:rPr>
              <w:t>Appendix 4: Lists of Tables, Figures and Maps</w:t>
            </w:r>
            <w:r>
              <w:rPr>
                <w:noProof/>
                <w:webHidden/>
              </w:rPr>
              <w:tab/>
            </w:r>
            <w:r>
              <w:rPr>
                <w:noProof/>
                <w:webHidden/>
              </w:rPr>
              <w:fldChar w:fldCharType="begin"/>
            </w:r>
            <w:r>
              <w:rPr>
                <w:noProof/>
                <w:webHidden/>
              </w:rPr>
              <w:instrText xml:space="preserve"> PAGEREF _Toc512556937 \h </w:instrText>
            </w:r>
            <w:r>
              <w:rPr>
                <w:noProof/>
                <w:webHidden/>
              </w:rPr>
            </w:r>
            <w:r>
              <w:rPr>
                <w:noProof/>
                <w:webHidden/>
              </w:rPr>
              <w:fldChar w:fldCharType="separate"/>
            </w:r>
            <w:r>
              <w:rPr>
                <w:noProof/>
                <w:webHidden/>
              </w:rPr>
              <w:t>40</w:t>
            </w:r>
            <w:r>
              <w:rPr>
                <w:noProof/>
                <w:webHidden/>
              </w:rPr>
              <w:fldChar w:fldCharType="end"/>
            </w:r>
          </w:hyperlink>
        </w:p>
        <w:p w14:paraId="20E26EA1" w14:textId="1988C8A0" w:rsidR="00B64349" w:rsidRDefault="00B64349">
          <w:pPr>
            <w:pStyle w:val="TOC3"/>
            <w:tabs>
              <w:tab w:val="right" w:leader="dot" w:pos="9017"/>
            </w:tabs>
            <w:rPr>
              <w:rFonts w:asciiTheme="minorHAnsi" w:eastAsiaTheme="minorEastAsia" w:hAnsiTheme="minorHAnsi" w:cstheme="minorBidi"/>
              <w:noProof/>
              <w:sz w:val="22"/>
              <w:lang w:val="en-GB" w:eastAsia="en-GB"/>
            </w:rPr>
          </w:pPr>
          <w:hyperlink w:anchor="_Toc512556938" w:history="1">
            <w:r w:rsidRPr="00395F6E">
              <w:rPr>
                <w:rStyle w:val="Hyperlink"/>
                <w:noProof/>
              </w:rPr>
              <w:t>Tables</w:t>
            </w:r>
          </w:hyperlink>
        </w:p>
        <w:p w14:paraId="29BADF78" w14:textId="2B28CFFD" w:rsidR="00B64349" w:rsidRDefault="00B64349">
          <w:pPr>
            <w:pStyle w:val="TOC3"/>
            <w:tabs>
              <w:tab w:val="right" w:leader="dot" w:pos="9017"/>
            </w:tabs>
            <w:rPr>
              <w:rFonts w:asciiTheme="minorHAnsi" w:eastAsiaTheme="minorEastAsia" w:hAnsiTheme="minorHAnsi" w:cstheme="minorBidi"/>
              <w:noProof/>
              <w:sz w:val="22"/>
              <w:lang w:val="en-GB" w:eastAsia="en-GB"/>
            </w:rPr>
          </w:pPr>
          <w:hyperlink w:anchor="_Toc512556939" w:history="1">
            <w:r w:rsidRPr="00395F6E">
              <w:rPr>
                <w:rStyle w:val="Hyperlink"/>
                <w:noProof/>
              </w:rPr>
              <w:t>Figures</w:t>
            </w:r>
          </w:hyperlink>
        </w:p>
        <w:p w14:paraId="011BD54A" w14:textId="75C10B17" w:rsidR="00B64349" w:rsidRDefault="00B64349">
          <w:pPr>
            <w:pStyle w:val="TOC3"/>
            <w:tabs>
              <w:tab w:val="right" w:leader="dot" w:pos="9017"/>
            </w:tabs>
            <w:rPr>
              <w:rFonts w:asciiTheme="minorHAnsi" w:eastAsiaTheme="minorEastAsia" w:hAnsiTheme="minorHAnsi" w:cstheme="minorBidi"/>
              <w:noProof/>
              <w:sz w:val="22"/>
              <w:lang w:val="en-GB" w:eastAsia="en-GB"/>
            </w:rPr>
          </w:pPr>
          <w:hyperlink w:anchor="_Toc512556940" w:history="1">
            <w:r w:rsidRPr="00395F6E">
              <w:rPr>
                <w:rStyle w:val="Hyperlink"/>
                <w:noProof/>
              </w:rPr>
              <w:t>Maps</w:t>
            </w:r>
          </w:hyperlink>
        </w:p>
        <w:p w14:paraId="23D2316E" w14:textId="67C34160" w:rsidR="00B64349" w:rsidRDefault="00B64349">
          <w:pPr>
            <w:pStyle w:val="TOC2"/>
            <w:tabs>
              <w:tab w:val="right" w:leader="dot" w:pos="9017"/>
            </w:tabs>
            <w:rPr>
              <w:rFonts w:asciiTheme="minorHAnsi" w:eastAsiaTheme="minorEastAsia" w:hAnsiTheme="minorHAnsi" w:cstheme="minorBidi"/>
              <w:noProof/>
              <w:sz w:val="22"/>
              <w:lang w:val="en-GB" w:eastAsia="en-GB"/>
            </w:rPr>
          </w:pPr>
          <w:hyperlink w:anchor="_Toc512556941" w:history="1">
            <w:r w:rsidRPr="00395F6E">
              <w:rPr>
                <w:rStyle w:val="Hyperlink"/>
                <w:noProof/>
              </w:rPr>
              <w:t>Appendix 5: References</w:t>
            </w:r>
            <w:r>
              <w:rPr>
                <w:noProof/>
                <w:webHidden/>
              </w:rPr>
              <w:tab/>
            </w:r>
            <w:r>
              <w:rPr>
                <w:noProof/>
                <w:webHidden/>
              </w:rPr>
              <w:fldChar w:fldCharType="begin"/>
            </w:r>
            <w:r>
              <w:rPr>
                <w:noProof/>
                <w:webHidden/>
              </w:rPr>
              <w:instrText xml:space="preserve"> PAGEREF _Toc512556941 \h </w:instrText>
            </w:r>
            <w:r>
              <w:rPr>
                <w:noProof/>
                <w:webHidden/>
              </w:rPr>
            </w:r>
            <w:r>
              <w:rPr>
                <w:noProof/>
                <w:webHidden/>
              </w:rPr>
              <w:fldChar w:fldCharType="separate"/>
            </w:r>
            <w:r>
              <w:rPr>
                <w:noProof/>
                <w:webHidden/>
              </w:rPr>
              <w:t>41</w:t>
            </w:r>
            <w:r>
              <w:rPr>
                <w:noProof/>
                <w:webHidden/>
              </w:rPr>
              <w:fldChar w:fldCharType="end"/>
            </w:r>
          </w:hyperlink>
        </w:p>
        <w:p w14:paraId="172EF86F" w14:textId="4D5BED6F" w:rsidR="000C56EA" w:rsidRDefault="000C56EA">
          <w:r>
            <w:rPr>
              <w:b/>
              <w:bCs/>
              <w:noProof/>
            </w:rPr>
            <w:fldChar w:fldCharType="end"/>
          </w:r>
        </w:p>
      </w:sdtContent>
    </w:sdt>
    <w:p w14:paraId="6F27C730" w14:textId="20BD3127" w:rsidR="00D51483" w:rsidRDefault="002D0EE3" w:rsidP="002D0EE3">
      <w:pPr>
        <w:pStyle w:val="Heading1"/>
      </w:pPr>
      <w:r>
        <w:lastRenderedPageBreak/>
        <w:t xml:space="preserve"> </w:t>
      </w:r>
      <w:bookmarkStart w:id="8" w:name="_Toc512556879"/>
      <w:r w:rsidR="00D51483">
        <w:t>Introduction</w:t>
      </w:r>
      <w:bookmarkEnd w:id="6"/>
      <w:bookmarkEnd w:id="7"/>
      <w:bookmarkEnd w:id="8"/>
    </w:p>
    <w:p w14:paraId="6411796A" w14:textId="77777777" w:rsidR="009F174B" w:rsidRPr="009F174B" w:rsidRDefault="009F174B" w:rsidP="009F174B">
      <w:pPr>
        <w:pStyle w:val="Heading2"/>
      </w:pPr>
      <w:bookmarkStart w:id="9" w:name="_Toc488088748"/>
      <w:bookmarkStart w:id="10" w:name="_Toc488093136"/>
      <w:bookmarkStart w:id="11" w:name="_Toc512556880"/>
      <w:r>
        <w:t>Legislative background</w:t>
      </w:r>
      <w:bookmarkEnd w:id="9"/>
      <w:bookmarkEnd w:id="10"/>
      <w:bookmarkEnd w:id="11"/>
    </w:p>
    <w:p w14:paraId="509DDB35" w14:textId="1B41208D" w:rsidR="00C17B30" w:rsidRDefault="0047508A" w:rsidP="0047508A">
      <w:r>
        <w:t>This research is to examine whether taxi lice</w:t>
      </w:r>
      <w:r w:rsidR="00531D0A">
        <w:t xml:space="preserve">nsing authorities </w:t>
      </w:r>
      <w:r w:rsidR="0090045E">
        <w:t xml:space="preserve">have changed their </w:t>
      </w:r>
      <w:r w:rsidR="00531D0A">
        <w:t>inten</w:t>
      </w:r>
      <w:r w:rsidR="0090045E">
        <w:t>t</w:t>
      </w:r>
      <w:r w:rsidR="00531D0A">
        <w:t xml:space="preserve"> </w:t>
      </w:r>
      <w:r w:rsidR="0090045E">
        <w:t>regarding</w:t>
      </w:r>
      <w:r w:rsidR="00531D0A">
        <w:t xml:space="preserve"> </w:t>
      </w:r>
      <w:r>
        <w:t xml:space="preserve">the powers </w:t>
      </w:r>
      <w:r w:rsidR="00C17B30">
        <w:t xml:space="preserve">newly </w:t>
      </w:r>
      <w:r w:rsidR="00531D0A">
        <w:t>afforded</w:t>
      </w:r>
      <w:r w:rsidR="0022043E">
        <w:t xml:space="preserve"> to</w:t>
      </w:r>
      <w:r w:rsidR="00531D0A">
        <w:t xml:space="preserve"> them </w:t>
      </w:r>
      <w:r w:rsidR="00000B06">
        <w:t>because of</w:t>
      </w:r>
      <w:r w:rsidR="00C17B30">
        <w:t xml:space="preserve"> the commencement of</w:t>
      </w:r>
      <w:r>
        <w:t xml:space="preserve"> </w:t>
      </w:r>
      <w:r w:rsidR="00531D0A">
        <w:t xml:space="preserve">sections 165 and </w:t>
      </w:r>
      <w:r>
        <w:t>167 of the Equality Act</w:t>
      </w:r>
      <w:r w:rsidR="00531D0A">
        <w:t xml:space="preserve"> (the Act)</w:t>
      </w:r>
      <w:r w:rsidR="00C17B30">
        <w:t xml:space="preserve"> on </w:t>
      </w:r>
      <w:r w:rsidR="00A33845">
        <w:t>6</w:t>
      </w:r>
      <w:r w:rsidR="00A33845" w:rsidRPr="00A33845">
        <w:rPr>
          <w:vertAlign w:val="superscript"/>
        </w:rPr>
        <w:t>th</w:t>
      </w:r>
      <w:r w:rsidR="00A33845">
        <w:t xml:space="preserve"> </w:t>
      </w:r>
      <w:r w:rsidR="00C17B30">
        <w:t xml:space="preserve">April 2017. This legislation makes </w:t>
      </w:r>
      <w:r>
        <w:t>it illegal for taxi and private hire drivers to discriminate against wheelchair users</w:t>
      </w:r>
      <w:r w:rsidR="00C17B30">
        <w:t xml:space="preserve"> – but only where the authority does the necessary office work.</w:t>
      </w:r>
    </w:p>
    <w:p w14:paraId="0D6BD6D0" w14:textId="104F378E" w:rsidR="00EF3D81" w:rsidRPr="0047508A" w:rsidRDefault="00C17B30" w:rsidP="0047508A">
      <w:r>
        <w:t xml:space="preserve">This </w:t>
      </w:r>
      <w:r w:rsidR="005F1CAF">
        <w:t xml:space="preserve">report </w:t>
      </w:r>
      <w:r w:rsidR="0090045E">
        <w:t xml:space="preserve">is an update to my </w:t>
      </w:r>
      <w:r>
        <w:t xml:space="preserve">similar </w:t>
      </w:r>
      <w:r w:rsidR="0090045E">
        <w:t>research report of June 201</w:t>
      </w:r>
      <w:r w:rsidR="006433A5">
        <w:t>7</w:t>
      </w:r>
      <w:r>
        <w:t xml:space="preserve">, which also looked at authorities’ disposition </w:t>
      </w:r>
      <w:r w:rsidR="00000B06">
        <w:t>regarding</w:t>
      </w:r>
      <w:r>
        <w:t xml:space="preserve"> this legislation</w:t>
      </w:r>
      <w:r w:rsidR="0090045E">
        <w:t>.</w:t>
      </w:r>
      <w:r w:rsidR="0090045E">
        <w:rPr>
          <w:rStyle w:val="EndnoteReference"/>
        </w:rPr>
        <w:endnoteReference w:id="1"/>
      </w:r>
    </w:p>
    <w:p w14:paraId="756A88D9" w14:textId="77777777" w:rsidR="000F0CC9" w:rsidRDefault="000F0CC9" w:rsidP="008229E9">
      <w:r>
        <w:t>In February 2017, the Department for Transport issued statutory guidance to taxi licensing authorities</w:t>
      </w:r>
      <w:r>
        <w:rPr>
          <w:rStyle w:val="EndnoteReference"/>
        </w:rPr>
        <w:endnoteReference w:id="2"/>
      </w:r>
      <w:r>
        <w:t>, which states:</w:t>
      </w:r>
    </w:p>
    <w:p w14:paraId="1310D150" w14:textId="77777777" w:rsidR="000F0CC9" w:rsidRDefault="000F0CC9" w:rsidP="00183D29">
      <w:pPr>
        <w:pStyle w:val="Quote"/>
      </w:pPr>
      <w:r>
        <w:t>Section 167 of the Act permits, but does not require, L</w:t>
      </w:r>
      <w:r w:rsidR="009E1B75">
        <w:t>As (Local Authorities)</w:t>
      </w:r>
      <w:r>
        <w:t xml:space="preserve"> to maintain a designated list of wheelchair accessible taxis and PHVs.</w:t>
      </w:r>
    </w:p>
    <w:p w14:paraId="073AB3DF" w14:textId="77777777" w:rsidR="000F0CC9" w:rsidRDefault="000F0CC9" w:rsidP="00183D29">
      <w:pPr>
        <w:pStyle w:val="Quote"/>
      </w:pPr>
      <w:r>
        <w:t>Whilst LAs are under no specific legal obligation to maintain a list under section 167, the Government recommends strongly that they do so. Without such a list the requirements of section 165 of the Act do not apply, and drivers may continue to refuse the carriage of wheelchair users, fail to provide them with assistance, or to charge them extra.</w:t>
      </w:r>
    </w:p>
    <w:p w14:paraId="72132243" w14:textId="070C7088" w:rsidR="006661C1" w:rsidRDefault="006661C1" w:rsidP="006661C1">
      <w:r>
        <w:t xml:space="preserve">The guidance </w:t>
      </w:r>
      <w:r w:rsidR="009E1B75">
        <w:t>recommend</w:t>
      </w:r>
      <w:r w:rsidR="006433A5">
        <w:t>ed</w:t>
      </w:r>
      <w:r>
        <w:t xml:space="preserve"> authorities work towards producing a S167 list by October 2017.</w:t>
      </w:r>
    </w:p>
    <w:p w14:paraId="631663A4" w14:textId="77777777" w:rsidR="00531D0A" w:rsidRDefault="00531D0A" w:rsidP="00531D0A">
      <w:pPr>
        <w:pStyle w:val="Heading2"/>
      </w:pPr>
      <w:bookmarkStart w:id="12" w:name="_Toc488088750"/>
      <w:bookmarkStart w:id="13" w:name="_Toc488093138"/>
      <w:bookmarkStart w:id="14" w:name="_Toc512556881"/>
      <w:r>
        <w:t>The issue in question</w:t>
      </w:r>
      <w:bookmarkEnd w:id="12"/>
      <w:bookmarkEnd w:id="13"/>
      <w:bookmarkEnd w:id="14"/>
    </w:p>
    <w:p w14:paraId="3A0F0632" w14:textId="0FDA631C" w:rsidR="0044336A" w:rsidRDefault="0090045E" w:rsidP="009F174B">
      <w:r>
        <w:t xml:space="preserve">My previous report, compiled shortly after S165-S167 were </w:t>
      </w:r>
      <w:r w:rsidR="006433A5">
        <w:t>commenced, evaluated</w:t>
      </w:r>
      <w:r w:rsidR="0044336A">
        <w:t xml:space="preserve"> whether </w:t>
      </w:r>
      <w:r w:rsidR="000F0CC9">
        <w:t>taxi and PHV licensing authorities intend</w:t>
      </w:r>
      <w:r>
        <w:t>ed</w:t>
      </w:r>
      <w:r w:rsidR="000F0CC9">
        <w:t xml:space="preserve"> to </w:t>
      </w:r>
      <w:r w:rsidR="0044336A">
        <w:t xml:space="preserve">use their power to </w:t>
      </w:r>
      <w:r w:rsidR="00531D0A">
        <w:t>create a S167 list</w:t>
      </w:r>
      <w:r w:rsidR="006433A5">
        <w:t xml:space="preserve">. </w:t>
      </w:r>
      <w:r w:rsidR="00531D0A">
        <w:t xml:space="preserve">My intent in this research is to </w:t>
      </w:r>
      <w:r>
        <w:t xml:space="preserve">examine any change in actions and attitudes of taxi licensing authorities in the intervening </w:t>
      </w:r>
      <w:r w:rsidR="00A33845">
        <w:t>six</w:t>
      </w:r>
      <w:r>
        <w:t xml:space="preserve"> months.</w:t>
      </w:r>
    </w:p>
    <w:p w14:paraId="6D6D71EB" w14:textId="77777777" w:rsidR="000F0CC9" w:rsidRDefault="000F0CC9" w:rsidP="001A1FDE">
      <w:pPr>
        <w:pStyle w:val="Heading2"/>
      </w:pPr>
      <w:bookmarkStart w:id="15" w:name="_Toc488088751"/>
      <w:bookmarkStart w:id="16" w:name="_Toc488093139"/>
      <w:bookmarkStart w:id="17" w:name="_Toc512556882"/>
      <w:r>
        <w:t>Subsidiary issues</w:t>
      </w:r>
      <w:bookmarkEnd w:id="15"/>
      <w:bookmarkEnd w:id="16"/>
      <w:bookmarkEnd w:id="17"/>
    </w:p>
    <w:p w14:paraId="1AB848B2" w14:textId="3B0D2961" w:rsidR="000F0CC9" w:rsidRPr="00B95A2C" w:rsidRDefault="0090045E" w:rsidP="00B95A2C">
      <w:pPr>
        <w:pStyle w:val="Heading3"/>
      </w:pPr>
      <w:bookmarkStart w:id="18" w:name="_Toc512556883"/>
      <w:r>
        <w:t>Compliance with Statutory Guidance</w:t>
      </w:r>
      <w:bookmarkEnd w:id="18"/>
    </w:p>
    <w:p w14:paraId="2AC9A61D" w14:textId="7AFA5680" w:rsidR="000F0CC9" w:rsidRDefault="0090045E" w:rsidP="002107A2">
      <w:r>
        <w:t>The Government’s guidance stated:</w:t>
      </w:r>
      <w:r w:rsidR="000F0CC9" w:rsidRPr="002107A2">
        <w:t xml:space="preserve"> </w:t>
      </w:r>
    </w:p>
    <w:p w14:paraId="6C9FE21C" w14:textId="1A2FBE05" w:rsidR="0090045E" w:rsidRDefault="0090045E" w:rsidP="0090045E">
      <w:pPr>
        <w:pStyle w:val="Quote"/>
      </w:pPr>
      <w:r>
        <w:t xml:space="preserve">Before drivers can be subject to the duties under section 165 of the Act, the LA must first publish their list of designated vehicles, and clearly mark it as ‘designated for the purposes of section 165 of the Act’. </w:t>
      </w:r>
    </w:p>
    <w:p w14:paraId="14F66B06" w14:textId="47CFBFA5" w:rsidR="000F0CC9" w:rsidRDefault="0090045E" w:rsidP="0090045E">
      <w:pPr>
        <w:pStyle w:val="Quote"/>
      </w:pPr>
      <w:r>
        <w:t xml:space="preserve">LAs should ensure that their designated lists are made easily available to passengers, and that vehicle owners and drivers are made aware. Lists should set out the details of the make and model of the vehicle, together with specifying whether the vehicle is a taxi or </w:t>
      </w:r>
      <w:r>
        <w:lastRenderedPageBreak/>
        <w:t xml:space="preserve">private hire </w:t>
      </w:r>
      <w:r w:rsidR="006433A5">
        <w:t>vehicle, and</w:t>
      </w:r>
      <w:r>
        <w:t xml:space="preserve"> stating the name of operator. Where possible it would also be helpful to include information about the size and weight of wheelchair that can be accommodated, and whether wheelchairs that are larger than a “reference wheelchair” can be accommodated.</w:t>
      </w:r>
    </w:p>
    <w:p w14:paraId="406C191B" w14:textId="0297998F" w:rsidR="00AF190A" w:rsidRDefault="005F1CAF" w:rsidP="00AF190A">
      <w:r>
        <w:t>Similarly</w:t>
      </w:r>
    </w:p>
    <w:p w14:paraId="69C86D27" w14:textId="7E0335ED" w:rsidR="00547AC4" w:rsidRDefault="00547AC4" w:rsidP="00547AC4">
      <w:pPr>
        <w:pStyle w:val="Quote"/>
      </w:pPr>
      <w:r>
        <w:t xml:space="preserve">The Government therefore recommends that a vehicle should only be included in the authority’s list if it would be possible for the user of a “reference wheelchair” to enter, leave and travel in the passenger compartment in safety and reasonable comfort whilst seated in their wheelchair.   </w:t>
      </w:r>
    </w:p>
    <w:p w14:paraId="5C38BF01" w14:textId="6B38A350" w:rsidR="00547AC4" w:rsidRPr="00547AC4" w:rsidRDefault="005F1CAF" w:rsidP="00547AC4">
      <w:r>
        <w:t>Also</w:t>
      </w:r>
    </w:p>
    <w:p w14:paraId="572760CE" w14:textId="7E451202" w:rsidR="00AF190A" w:rsidRPr="00AF190A" w:rsidRDefault="00AF190A" w:rsidP="00AF190A">
      <w:pPr>
        <w:pStyle w:val="Quote"/>
      </w:pPr>
      <w:r>
        <w:t>We would therefore recommend that LAs also publish a list of vehicles that are accessible to passengers in wheelchairs who are able to transfer from their wheelchair into a seat within the vehicle.</w:t>
      </w:r>
    </w:p>
    <w:p w14:paraId="4C747967" w14:textId="1A8BA469" w:rsidR="000F0CC9" w:rsidRDefault="0090045E" w:rsidP="002107A2">
      <w:r>
        <w:t>I examined licensing authorities’ compliance with these requirements and recommendations.</w:t>
      </w:r>
    </w:p>
    <w:p w14:paraId="373B8146" w14:textId="33D67C36" w:rsidR="000F0CC9" w:rsidRDefault="000F0CC9" w:rsidP="00C2283D">
      <w:pPr>
        <w:pStyle w:val="Heading3"/>
      </w:pPr>
      <w:bookmarkStart w:id="19" w:name="_Toc488088754"/>
      <w:bookmarkStart w:id="20" w:name="_Toc488093142"/>
      <w:bookmarkStart w:id="21" w:name="_Toc512556884"/>
      <w:r>
        <w:t>Exemptions</w:t>
      </w:r>
      <w:bookmarkEnd w:id="19"/>
      <w:bookmarkEnd w:id="20"/>
      <w:r w:rsidR="00547AC4">
        <w:t xml:space="preserve"> and Applications</w:t>
      </w:r>
      <w:bookmarkEnd w:id="21"/>
    </w:p>
    <w:p w14:paraId="344353FC" w14:textId="11C94DE0" w:rsidR="00547AC4" w:rsidRDefault="00547AC4" w:rsidP="0044336A">
      <w:r>
        <w:t xml:space="preserve">Drivers of accessible vehicles may apply for </w:t>
      </w:r>
      <w:r w:rsidR="00C17B30">
        <w:t xml:space="preserve">medical </w:t>
      </w:r>
      <w:r>
        <w:t>exemption from the duties not to discriminate against wheelchair users. The DFT recommended:</w:t>
      </w:r>
    </w:p>
    <w:p w14:paraId="768E695B" w14:textId="13986D7E" w:rsidR="00547AC4" w:rsidRDefault="00547AC4" w:rsidP="00547AC4">
      <w:pPr>
        <w:pStyle w:val="Quote"/>
      </w:pPr>
      <w:r>
        <w:t>We suggest that authorities produce application forms which can be submitted by applicants along with evidence supporting their claim. … as an absolute minimum, we think that the evidence provided should be in the form of a letter or report from a general practitioner. … We would recommend that independent medical assessors are used where a long-term exemption is to be issued.</w:t>
      </w:r>
    </w:p>
    <w:p w14:paraId="5C45BF75" w14:textId="77777777" w:rsidR="00C17B30" w:rsidRDefault="00547AC4" w:rsidP="00C17B30">
      <w:r>
        <w:t xml:space="preserve">I examined </w:t>
      </w:r>
      <w:r w:rsidR="00C17B30">
        <w:t xml:space="preserve">the number of such exemptions granted by </w:t>
      </w:r>
      <w:r>
        <w:t>authorities</w:t>
      </w:r>
      <w:r w:rsidR="00C17B30">
        <w:t xml:space="preserve">, </w:t>
      </w:r>
      <w:r>
        <w:t xml:space="preserve">the mechanisms </w:t>
      </w:r>
      <w:r w:rsidR="00C17B30">
        <w:t xml:space="preserve">for considering applications for such exemptions and </w:t>
      </w:r>
      <w:r>
        <w:t>use of the statutory mechanisms for appealing an authority’s refusal to grant a medical exemption</w:t>
      </w:r>
      <w:r w:rsidR="00C17B30">
        <w:t>.</w:t>
      </w:r>
      <w:r>
        <w:t xml:space="preserve"> </w:t>
      </w:r>
    </w:p>
    <w:p w14:paraId="025E84A5" w14:textId="6F66CBA8" w:rsidR="0044336A" w:rsidRDefault="00C17B30" w:rsidP="00C17B30">
      <w:r>
        <w:t xml:space="preserve">I also examined use of the statutory provisions to contest </w:t>
      </w:r>
      <w:r w:rsidR="00547AC4">
        <w:t>an authority’s decision to include a vehicle on the S167 list</w:t>
      </w:r>
      <w:r>
        <w:t xml:space="preserve"> (</w:t>
      </w:r>
      <w:r w:rsidR="00244503">
        <w:t xml:space="preserve">i.e. disputing that </w:t>
      </w:r>
      <w:r>
        <w:t>said vehicle isn’t fully wheelchair accessible.)</w:t>
      </w:r>
    </w:p>
    <w:p w14:paraId="7245F5D8" w14:textId="77777777" w:rsidR="005F1CAF" w:rsidRDefault="005F1CAF" w:rsidP="005F1CAF">
      <w:pPr>
        <w:pStyle w:val="Heading3"/>
      </w:pPr>
      <w:bookmarkStart w:id="22" w:name="_Toc488088753"/>
      <w:bookmarkStart w:id="23" w:name="_Toc488093141"/>
      <w:bookmarkStart w:id="24" w:name="_Toc512556885"/>
      <w:r>
        <w:t>Enforcement</w:t>
      </w:r>
      <w:bookmarkEnd w:id="22"/>
      <w:bookmarkEnd w:id="23"/>
      <w:bookmarkEnd w:id="24"/>
    </w:p>
    <w:p w14:paraId="5DE6ABCE" w14:textId="00F565BF" w:rsidR="005F1CAF" w:rsidRDefault="005F1CAF" w:rsidP="005F1CAF">
      <w:r>
        <w:t>As noted in my previous report, analogous regulations</w:t>
      </w:r>
      <w:r>
        <w:rPr>
          <w:rStyle w:val="EndnoteReference"/>
        </w:rPr>
        <w:endnoteReference w:id="3"/>
      </w:r>
      <w:r>
        <w:t xml:space="preserve"> which place bus drivers under obligations to wheelchair users have never been enforced. I have therefore investigated the degree of enforcement in the first six months since commencement of S165 and S167.</w:t>
      </w:r>
    </w:p>
    <w:p w14:paraId="56F3F44F" w14:textId="77777777" w:rsidR="006433A5" w:rsidRDefault="006433A5" w:rsidP="006433A5">
      <w:pPr>
        <w:pStyle w:val="Heading3"/>
      </w:pPr>
      <w:bookmarkStart w:id="25" w:name="_Toc512556886"/>
      <w:r>
        <w:t>Taxi provision statistics</w:t>
      </w:r>
      <w:bookmarkEnd w:id="25"/>
    </w:p>
    <w:p w14:paraId="3536798D" w14:textId="1CEFD8BD" w:rsidR="009F174B" w:rsidRDefault="006433A5" w:rsidP="006433A5">
      <w:pPr>
        <w:rPr>
          <w:sz w:val="28"/>
          <w:szCs w:val="28"/>
        </w:rPr>
      </w:pPr>
      <w:r>
        <w:t xml:space="preserve">Since my original report, the Department for Transport has released updated taxi licensing statistics </w:t>
      </w:r>
      <w:r w:rsidR="002756F9">
        <w:t xml:space="preserve">for England and Wales </w:t>
      </w:r>
      <w:r>
        <w:t>as of March 2017.</w:t>
      </w:r>
      <w:r>
        <w:rPr>
          <w:rStyle w:val="EndnoteReference"/>
        </w:rPr>
        <w:endnoteReference w:id="4"/>
      </w:r>
      <w:r>
        <w:t xml:space="preserve"> I examined changes in numbers and proportions of accessible taxis, changes in local authorities’ policies regarding licensing of accessible taxis</w:t>
      </w:r>
      <w:r w:rsidR="00C17B30">
        <w:t>,</w:t>
      </w:r>
      <w:r>
        <w:t xml:space="preserve"> and</w:t>
      </w:r>
      <w:r w:rsidR="00C17B30">
        <w:t xml:space="preserve"> their policies on</w:t>
      </w:r>
      <w:r>
        <w:t xml:space="preserve"> drivers/ disability awareness training.</w:t>
      </w:r>
      <w:r w:rsidR="009F174B">
        <w:br w:type="page"/>
      </w:r>
    </w:p>
    <w:p w14:paraId="05E1EFB1" w14:textId="77777777" w:rsidR="00753BE5" w:rsidRDefault="00753BE5" w:rsidP="00753BE5">
      <w:pPr>
        <w:pStyle w:val="Heading1"/>
      </w:pPr>
      <w:bookmarkStart w:id="26" w:name="_Toc488088756"/>
      <w:bookmarkStart w:id="27" w:name="_Toc488093144"/>
      <w:bookmarkStart w:id="28" w:name="_Toc512556887"/>
      <w:r>
        <w:lastRenderedPageBreak/>
        <w:t>Methods</w:t>
      </w:r>
      <w:bookmarkEnd w:id="26"/>
      <w:bookmarkEnd w:id="27"/>
      <w:bookmarkEnd w:id="28"/>
    </w:p>
    <w:p w14:paraId="3E3B86EA" w14:textId="0E8A52FF" w:rsidR="00424AD0" w:rsidRDefault="002756F9" w:rsidP="002756F9">
      <w:pPr>
        <w:pStyle w:val="Heading2"/>
        <w:numPr>
          <w:ilvl w:val="0"/>
          <w:numId w:val="0"/>
        </w:numPr>
        <w:ind w:left="720" w:hanging="360"/>
      </w:pPr>
      <w:bookmarkStart w:id="29" w:name="_Toc488088758"/>
      <w:bookmarkStart w:id="30" w:name="_Toc488093146"/>
      <w:bookmarkStart w:id="31" w:name="_Toc512556888"/>
      <w:r>
        <w:t xml:space="preserve">a) </w:t>
      </w:r>
      <w:r w:rsidR="00424AD0">
        <w:t xml:space="preserve">Freedom of Information </w:t>
      </w:r>
      <w:r w:rsidR="00152BEA">
        <w:t xml:space="preserve">(FOI) </w:t>
      </w:r>
      <w:r w:rsidR="00424AD0">
        <w:t>Requests</w:t>
      </w:r>
      <w:bookmarkEnd w:id="29"/>
      <w:bookmarkEnd w:id="30"/>
      <w:bookmarkEnd w:id="31"/>
    </w:p>
    <w:p w14:paraId="0CB3A54A" w14:textId="63B496AF" w:rsidR="00753BE5" w:rsidRDefault="006820F3" w:rsidP="00753BE5">
      <w:r>
        <w:t xml:space="preserve">On </w:t>
      </w:r>
      <w:r w:rsidR="00654E1F">
        <w:t>4</w:t>
      </w:r>
      <w:r w:rsidR="00654E1F" w:rsidRPr="00654E1F">
        <w:rPr>
          <w:vertAlign w:val="superscript"/>
        </w:rPr>
        <w:t>th</w:t>
      </w:r>
      <w:r w:rsidR="00654E1F">
        <w:t xml:space="preserve"> November </w:t>
      </w:r>
      <w:r w:rsidR="003A620B">
        <w:t>2017</w:t>
      </w:r>
      <w:r>
        <w:t xml:space="preserve">, </w:t>
      </w:r>
      <w:r w:rsidR="00424AD0">
        <w:t>I sent Freedom of Information</w:t>
      </w:r>
      <w:r w:rsidR="002756F9">
        <w:t xml:space="preserve"> (FOI)</w:t>
      </w:r>
      <w:r w:rsidR="00424AD0">
        <w:t xml:space="preserve"> request </w:t>
      </w:r>
      <w:r w:rsidR="00152BEA">
        <w:t xml:space="preserve">to </w:t>
      </w:r>
      <w:r w:rsidR="00C60BCC">
        <w:t>all 367</w:t>
      </w:r>
      <w:r w:rsidR="00152BEA">
        <w:t xml:space="preserve"> licensing </w:t>
      </w:r>
      <w:r w:rsidR="000F09B7">
        <w:t>authorities</w:t>
      </w:r>
      <w:r w:rsidR="002756F9">
        <w:t xml:space="preserve">. I </w:t>
      </w:r>
      <w:r w:rsidR="00C17B30">
        <w:t xml:space="preserve">sent </w:t>
      </w:r>
      <w:r w:rsidR="002756F9">
        <w:t>each authority one of s</w:t>
      </w:r>
      <w:r w:rsidR="00133F10">
        <w:t>ix</w:t>
      </w:r>
      <w:r w:rsidR="002756F9">
        <w:t xml:space="preserve"> different FOI requests dependent on the authority’s previous approach to S167. </w:t>
      </w:r>
      <w:r w:rsidR="00424AD0">
        <w:t>(</w:t>
      </w:r>
      <w:r w:rsidR="002756F9">
        <w:t>S</w:t>
      </w:r>
      <w:r w:rsidR="00424AD0">
        <w:t xml:space="preserve">ee </w:t>
      </w:r>
      <w:r w:rsidR="00133F10">
        <w:t>Appendix 1</w:t>
      </w:r>
      <w:r w:rsidR="002756F9">
        <w:t>.</w:t>
      </w:r>
      <w:r w:rsidR="00424AD0">
        <w:t xml:space="preserve">) </w:t>
      </w:r>
      <w:r w:rsidR="002756F9">
        <w:t xml:space="preserve">As before, </w:t>
      </w:r>
      <w:r w:rsidR="00424AD0">
        <w:t xml:space="preserve">I </w:t>
      </w:r>
      <w:r w:rsidR="002756F9">
        <w:t xml:space="preserve">sent the requests </w:t>
      </w:r>
      <w:r w:rsidR="00424AD0">
        <w:t xml:space="preserve">via WhatDoTheyKnow.com, </w:t>
      </w:r>
      <w:r w:rsidR="00271CDF">
        <w:t>to</w:t>
      </w:r>
      <w:r w:rsidR="00424AD0">
        <w:t xml:space="preserve"> assist with keeping track of the requests and to ensure that all responses are published online </w:t>
      </w:r>
      <w:r w:rsidR="00446650">
        <w:t xml:space="preserve">for any interested party to </w:t>
      </w:r>
      <w:r w:rsidR="002F4A0F">
        <w:t>read.</w:t>
      </w:r>
    </w:p>
    <w:p w14:paraId="2AA5DF49" w14:textId="669059CB" w:rsidR="006820F3" w:rsidRDefault="00424AD0" w:rsidP="002756F9">
      <w:r>
        <w:t xml:space="preserve">I </w:t>
      </w:r>
      <w:r w:rsidR="00122756">
        <w:t>c</w:t>
      </w:r>
      <w:r w:rsidR="006820F3">
        <w:t xml:space="preserve">ollated the </w:t>
      </w:r>
      <w:r w:rsidR="00000B06">
        <w:t>responses and</w:t>
      </w:r>
      <w:r w:rsidR="006820F3">
        <w:t xml:space="preserve"> </w:t>
      </w:r>
      <w:r w:rsidR="002F4A0F">
        <w:t>acted</w:t>
      </w:r>
      <w:r w:rsidR="006820F3">
        <w:t xml:space="preserve"> where required </w:t>
      </w:r>
      <w:r w:rsidR="00271CDF">
        <w:t>to</w:t>
      </w:r>
      <w:r w:rsidR="006820F3">
        <w:t xml:space="preserve"> </w:t>
      </w:r>
      <w:r w:rsidR="00152BEA">
        <w:t>pressurise</w:t>
      </w:r>
      <w:r w:rsidR="006820F3">
        <w:t xml:space="preserve"> authorities into providing the information. </w:t>
      </w:r>
      <w:r w:rsidR="00654E1F">
        <w:t>T</w:t>
      </w:r>
      <w:r w:rsidR="002756F9">
        <w:t xml:space="preserve">his involved </w:t>
      </w:r>
      <w:r w:rsidR="006820F3">
        <w:t xml:space="preserve">sending and receiving thousands of emails over </w:t>
      </w:r>
      <w:r w:rsidR="00654E1F">
        <w:t>several</w:t>
      </w:r>
      <w:r w:rsidR="006820F3">
        <w:t xml:space="preserve"> months</w:t>
      </w:r>
      <w:r w:rsidR="00654E1F">
        <w:t xml:space="preserve">; chasing, requesting internal reviews and involving the Information Commissioner / Scottish Information Commissioner – who had to </w:t>
      </w:r>
      <w:r w:rsidR="00D660E4">
        <w:t>act</w:t>
      </w:r>
      <w:r w:rsidR="00654E1F">
        <w:t xml:space="preserve"> to make 59 authorities respond properly.</w:t>
      </w:r>
    </w:p>
    <w:p w14:paraId="3873AF50" w14:textId="304B1E04" w:rsidR="00152BEA" w:rsidRDefault="00357C19" w:rsidP="00654E1F">
      <w:r>
        <w:t>As of writing, 3</w:t>
      </w:r>
      <w:r w:rsidR="00000B06">
        <w:t>40</w:t>
      </w:r>
      <w:r>
        <w:t xml:space="preserve"> of the 347 authorities have responded with all the information I requested. The remaining </w:t>
      </w:r>
      <w:r w:rsidR="00000B06">
        <w:t>7</w:t>
      </w:r>
      <w:r>
        <w:t xml:space="preserve"> </w:t>
      </w:r>
      <w:r w:rsidR="00654E1F">
        <w:t xml:space="preserve">only </w:t>
      </w:r>
      <w:r>
        <w:t>supplied partial information</w:t>
      </w:r>
      <w:r w:rsidR="00AE28B7">
        <w:t>, even after internal review</w:t>
      </w:r>
      <w:r w:rsidR="00654E1F">
        <w:t>, and are awaiting the further intervention of the Information Commissioner.</w:t>
      </w:r>
      <w:r>
        <w:t xml:space="preserve"> </w:t>
      </w:r>
      <w:r w:rsidR="00133F10">
        <w:t>The “success rate” of my 367 FOI requests is therefore over 9</w:t>
      </w:r>
      <w:r w:rsidR="00000B06">
        <w:t>8</w:t>
      </w:r>
      <w:r w:rsidR="00133F10">
        <w:t>%.</w:t>
      </w:r>
    </w:p>
    <w:p w14:paraId="6EB5D7F3" w14:textId="0E3531AB" w:rsidR="00357C19" w:rsidRDefault="00133F10" w:rsidP="006820F3">
      <w:r>
        <w:t>34</w:t>
      </w:r>
      <w:r w:rsidR="00000B06">
        <w:t>2</w:t>
      </w:r>
      <w:r>
        <w:t xml:space="preserve"> of the 347 </w:t>
      </w:r>
      <w:r w:rsidR="00357C19">
        <w:t xml:space="preserve">authorities </w:t>
      </w:r>
      <w:r>
        <w:t xml:space="preserve">(98%) </w:t>
      </w:r>
      <w:r w:rsidR="00357C19">
        <w:t>have state</w:t>
      </w:r>
      <w:r>
        <w:t>d</w:t>
      </w:r>
      <w:r w:rsidR="002756F9">
        <w:t xml:space="preserve"> </w:t>
      </w:r>
      <w:r w:rsidR="00357C19">
        <w:t>whether they have a current S167 list</w:t>
      </w:r>
      <w:r>
        <w:t xml:space="preserve"> or intend to create one</w:t>
      </w:r>
      <w:r w:rsidR="00357C19">
        <w:t xml:space="preserve">. </w:t>
      </w:r>
    </w:p>
    <w:p w14:paraId="512A7D16" w14:textId="4F24888C" w:rsidR="00357C19" w:rsidRDefault="00357C19" w:rsidP="002756F9">
      <w:pPr>
        <w:pStyle w:val="Heading2"/>
        <w:numPr>
          <w:ilvl w:val="0"/>
          <w:numId w:val="36"/>
        </w:numPr>
      </w:pPr>
      <w:bookmarkStart w:id="32" w:name="_Toc488088759"/>
      <w:bookmarkStart w:id="33" w:name="_Toc488093147"/>
      <w:bookmarkStart w:id="34" w:name="_Toc512556889"/>
      <w:r>
        <w:t>Characteristics of licensing authorities</w:t>
      </w:r>
      <w:bookmarkEnd w:id="32"/>
      <w:bookmarkEnd w:id="33"/>
      <w:bookmarkEnd w:id="34"/>
    </w:p>
    <w:p w14:paraId="660D9FEA" w14:textId="23838F78" w:rsidR="00357C19" w:rsidRDefault="00372650" w:rsidP="00357C19">
      <w:r>
        <w:t xml:space="preserve">I sourced or derived the following data </w:t>
      </w:r>
      <w:r w:rsidR="00357C19">
        <w:t xml:space="preserve">from </w:t>
      </w:r>
      <w:r w:rsidR="00654E1F">
        <w:t xml:space="preserve">the </w:t>
      </w:r>
      <w:r>
        <w:t xml:space="preserve">datasets released by </w:t>
      </w:r>
      <w:r w:rsidR="00357C19">
        <w:t xml:space="preserve">the Department for Transport </w:t>
      </w:r>
      <w:r w:rsidR="00654E1F">
        <w:t xml:space="preserve">in 2015 and 2017, </w:t>
      </w:r>
      <w:r w:rsidR="00357C19">
        <w:t xml:space="preserve">and </w:t>
      </w:r>
      <w:r w:rsidR="00654E1F">
        <w:t xml:space="preserve">similar information </w:t>
      </w:r>
      <w:r>
        <w:t>by</w:t>
      </w:r>
      <w:r w:rsidR="00152BEA">
        <w:t xml:space="preserve"> </w:t>
      </w:r>
      <w:r w:rsidR="00357C19">
        <w:t>Transport Scotland</w:t>
      </w:r>
      <w:r w:rsidR="00152BEA">
        <w:t>.</w:t>
      </w:r>
      <w:r w:rsidR="00654E1F">
        <w:t xml:space="preserve"> </w:t>
      </w:r>
    </w:p>
    <w:p w14:paraId="33BCB591" w14:textId="77777777" w:rsidR="00357C19" w:rsidRDefault="00357C19" w:rsidP="00357C19">
      <w:pPr>
        <w:pStyle w:val="Heading3"/>
      </w:pPr>
      <w:bookmarkStart w:id="35" w:name="_Toc488088760"/>
      <w:bookmarkStart w:id="36" w:name="_Toc488093148"/>
      <w:bookmarkStart w:id="37" w:name="_Toc512556890"/>
      <w:r>
        <w:t>Data for England, Scotland and Wales</w:t>
      </w:r>
      <w:bookmarkEnd w:id="35"/>
      <w:bookmarkEnd w:id="36"/>
      <w:bookmarkEnd w:id="37"/>
    </w:p>
    <w:p w14:paraId="698E422E" w14:textId="77777777" w:rsidR="00357C19" w:rsidRDefault="00357C19" w:rsidP="00357C19">
      <w:pPr>
        <w:pStyle w:val="ListParagraph"/>
        <w:numPr>
          <w:ilvl w:val="0"/>
          <w:numId w:val="19"/>
        </w:numPr>
      </w:pPr>
      <w:r>
        <w:t>The number of a</w:t>
      </w:r>
      <w:r w:rsidR="00F86495">
        <w:t xml:space="preserve">ccessible taxis licensed by each </w:t>
      </w:r>
      <w:r>
        <w:t>authority</w:t>
      </w:r>
    </w:p>
    <w:p w14:paraId="118DDBFF" w14:textId="77777777" w:rsidR="00357C19" w:rsidRDefault="00357C19" w:rsidP="00357C19">
      <w:pPr>
        <w:pStyle w:val="ListParagraph"/>
        <w:numPr>
          <w:ilvl w:val="0"/>
          <w:numId w:val="19"/>
        </w:numPr>
      </w:pPr>
      <w:r>
        <w:t>The proportion of taxis licensed by the authority that are wheelchair accessible</w:t>
      </w:r>
    </w:p>
    <w:p w14:paraId="0A3D6DBA" w14:textId="77777777" w:rsidR="00357C19" w:rsidRDefault="00357C19" w:rsidP="00357C19">
      <w:pPr>
        <w:pStyle w:val="ListParagraph"/>
        <w:numPr>
          <w:ilvl w:val="0"/>
          <w:numId w:val="19"/>
        </w:numPr>
      </w:pPr>
      <w:r>
        <w:t>The number of wheelchair accessible taxis per thousand population in the licensing authority’s area</w:t>
      </w:r>
    </w:p>
    <w:p w14:paraId="71A732DD" w14:textId="77777777" w:rsidR="00357C19" w:rsidRDefault="00357C19" w:rsidP="00357C19">
      <w:pPr>
        <w:pStyle w:val="Heading3"/>
      </w:pPr>
      <w:bookmarkStart w:id="38" w:name="_Toc488088761"/>
      <w:bookmarkStart w:id="39" w:name="_Toc488093149"/>
      <w:bookmarkStart w:id="40" w:name="_Toc512556891"/>
      <w:r>
        <w:t>Data for England and Wales only</w:t>
      </w:r>
      <w:bookmarkEnd w:id="38"/>
      <w:bookmarkEnd w:id="39"/>
      <w:bookmarkEnd w:id="40"/>
    </w:p>
    <w:p w14:paraId="36572E43" w14:textId="77777777" w:rsidR="00357C19" w:rsidRDefault="00A944CE" w:rsidP="00A944CE">
      <w:pPr>
        <w:pStyle w:val="ListParagraph"/>
        <w:numPr>
          <w:ilvl w:val="0"/>
          <w:numId w:val="20"/>
        </w:numPr>
      </w:pPr>
      <w:r>
        <w:t>Whether the licensing authority r</w:t>
      </w:r>
      <w:r w:rsidRPr="00A944CE">
        <w:t>equire</w:t>
      </w:r>
      <w:r>
        <w:t>s</w:t>
      </w:r>
      <w:r w:rsidRPr="00A944CE">
        <w:t xml:space="preserve"> </w:t>
      </w:r>
      <w:r>
        <w:t xml:space="preserve">some or all licensed taxis to be </w:t>
      </w:r>
      <w:r w:rsidRPr="00A944CE">
        <w:t>wheelchair accessible</w:t>
      </w:r>
    </w:p>
    <w:p w14:paraId="4996A26C" w14:textId="2AA758CB" w:rsidR="00A944CE" w:rsidRDefault="00A944CE" w:rsidP="00A944CE">
      <w:pPr>
        <w:pStyle w:val="ListParagraph"/>
        <w:numPr>
          <w:ilvl w:val="0"/>
          <w:numId w:val="20"/>
        </w:numPr>
      </w:pPr>
      <w:r>
        <w:t>Whether the licensing authority obliges taxi drivers to undertake disability awareness training</w:t>
      </w:r>
    </w:p>
    <w:p w14:paraId="1D7B10F7" w14:textId="4B3440DE" w:rsidR="00A944CE" w:rsidRDefault="00372650" w:rsidP="00372650">
      <w:pPr>
        <w:pStyle w:val="ListParagraph"/>
        <w:numPr>
          <w:ilvl w:val="0"/>
          <w:numId w:val="20"/>
        </w:numPr>
      </w:pPr>
      <w:r>
        <w:t>Changes since 2015 in the number and proportion of licensed taxis that are wheelchair accessible and in the number of accessible taxis per thousand population, in each licensing authority’s area.</w:t>
      </w:r>
    </w:p>
    <w:p w14:paraId="27CEB636" w14:textId="77777777" w:rsidR="00372650" w:rsidRDefault="00372650">
      <w:pPr>
        <w:spacing w:after="0" w:line="240" w:lineRule="auto"/>
        <w:jc w:val="left"/>
        <w:rPr>
          <w:b/>
          <w:bCs/>
          <w:i/>
          <w:sz w:val="28"/>
          <w:szCs w:val="28"/>
        </w:rPr>
      </w:pPr>
      <w:bookmarkStart w:id="41" w:name="_Toc488088763"/>
      <w:bookmarkStart w:id="42" w:name="_Toc488093151"/>
      <w:r>
        <w:br w:type="page"/>
      </w:r>
    </w:p>
    <w:p w14:paraId="1546A4CE" w14:textId="30577FCD" w:rsidR="00A944CE" w:rsidRDefault="00A944CE" w:rsidP="00A944CE">
      <w:pPr>
        <w:pStyle w:val="Heading2"/>
      </w:pPr>
      <w:bookmarkStart w:id="43" w:name="_Toc512556892"/>
      <w:r>
        <w:lastRenderedPageBreak/>
        <w:t>Classification of Authorities</w:t>
      </w:r>
      <w:r w:rsidR="00152BEA">
        <w:t>’ Responses</w:t>
      </w:r>
      <w:bookmarkEnd w:id="41"/>
      <w:bookmarkEnd w:id="42"/>
      <w:bookmarkEnd w:id="43"/>
    </w:p>
    <w:p w14:paraId="522D3AD7" w14:textId="27A604EA" w:rsidR="00A944CE" w:rsidRDefault="00372650" w:rsidP="00A944CE">
      <w:r>
        <w:t>I used the same classification mechanism as in my previous report:</w:t>
      </w:r>
    </w:p>
    <w:p w14:paraId="2C37394D" w14:textId="77777777" w:rsidR="00A944CE" w:rsidRDefault="00A944CE" w:rsidP="00A944CE">
      <w:pPr>
        <w:pStyle w:val="Heading3"/>
      </w:pPr>
      <w:bookmarkStart w:id="44" w:name="_Toc488088764"/>
      <w:bookmarkStart w:id="45" w:name="_Toc488093152"/>
      <w:bookmarkStart w:id="46" w:name="_Toc512556893"/>
      <w:r>
        <w:t>S167 grade</w:t>
      </w:r>
      <w:bookmarkEnd w:id="44"/>
      <w:bookmarkEnd w:id="45"/>
      <w:bookmarkEnd w:id="46"/>
    </w:p>
    <w:tbl>
      <w:tblPr>
        <w:tblW w:w="7655" w:type="dxa"/>
        <w:jc w:val="center"/>
        <w:tblCellMar>
          <w:top w:w="15" w:type="dxa"/>
          <w:bottom w:w="15" w:type="dxa"/>
        </w:tblCellMar>
        <w:tblLook w:val="04A0" w:firstRow="1" w:lastRow="0" w:firstColumn="1" w:lastColumn="0" w:noHBand="0" w:noVBand="1"/>
      </w:tblPr>
      <w:tblGrid>
        <w:gridCol w:w="1340"/>
        <w:gridCol w:w="6315"/>
      </w:tblGrid>
      <w:tr w:rsidR="00A944CE" w:rsidRPr="00A944CE" w14:paraId="6BC1491D" w14:textId="77777777" w:rsidTr="00152BEA">
        <w:trPr>
          <w:trHeight w:val="255"/>
          <w:jc w:val="center"/>
        </w:trPr>
        <w:tc>
          <w:tcPr>
            <w:tcW w:w="1340" w:type="dxa"/>
            <w:tcBorders>
              <w:top w:val="single" w:sz="4" w:space="0" w:color="EDEDED"/>
              <w:left w:val="nil"/>
              <w:bottom w:val="single" w:sz="4" w:space="0" w:color="EDEDED"/>
              <w:right w:val="single" w:sz="4" w:space="0" w:color="A5A5A5"/>
            </w:tcBorders>
            <w:shd w:val="clear" w:color="FFFFCC" w:fill="B0CC66"/>
            <w:noWrap/>
            <w:vAlign w:val="bottom"/>
            <w:hideMark/>
          </w:tcPr>
          <w:p w14:paraId="5D9E07BA" w14:textId="77777777" w:rsidR="00A944CE" w:rsidRPr="00A944CE" w:rsidRDefault="00A944CE" w:rsidP="00A944CE">
            <w:pPr>
              <w:spacing w:after="0" w:line="240" w:lineRule="auto"/>
              <w:jc w:val="center"/>
              <w:rPr>
                <w:rFonts w:ascii="Arial" w:eastAsia="Times New Roman" w:hAnsi="Arial" w:cs="Arial"/>
                <w:b/>
                <w:bCs/>
                <w:color w:val="375623"/>
                <w:sz w:val="20"/>
                <w:szCs w:val="20"/>
                <w:lang w:val="en-GB" w:eastAsia="en-GB"/>
              </w:rPr>
            </w:pPr>
            <w:r w:rsidRPr="00A944CE">
              <w:rPr>
                <w:rFonts w:ascii="Arial" w:eastAsia="Times New Roman" w:hAnsi="Arial" w:cs="Arial"/>
                <w:b/>
                <w:bCs/>
                <w:color w:val="375623"/>
                <w:sz w:val="20"/>
                <w:szCs w:val="20"/>
                <w:lang w:val="en-GB" w:eastAsia="en-GB"/>
              </w:rPr>
              <w:t>A</w:t>
            </w:r>
          </w:p>
        </w:tc>
        <w:tc>
          <w:tcPr>
            <w:tcW w:w="6315" w:type="dxa"/>
            <w:tcBorders>
              <w:top w:val="nil"/>
              <w:left w:val="nil"/>
              <w:bottom w:val="nil"/>
              <w:right w:val="nil"/>
            </w:tcBorders>
            <w:shd w:val="clear" w:color="FFFFCC" w:fill="FFFFFF"/>
            <w:noWrap/>
            <w:vAlign w:val="bottom"/>
            <w:hideMark/>
          </w:tcPr>
          <w:p w14:paraId="129B52B9" w14:textId="7329FC7B" w:rsidR="00A944CE" w:rsidRPr="00A944CE" w:rsidRDefault="00152BEA" w:rsidP="00A944CE">
            <w:pPr>
              <w:spacing w:after="0" w:line="240" w:lineRule="auto"/>
              <w:jc w:val="left"/>
              <w:rPr>
                <w:rFonts w:ascii="Arial" w:eastAsia="Times New Roman" w:hAnsi="Arial" w:cs="Arial"/>
                <w:b/>
                <w:bCs/>
                <w:color w:val="000000"/>
                <w:sz w:val="20"/>
                <w:szCs w:val="20"/>
                <w:lang w:val="en-GB" w:eastAsia="en-GB"/>
              </w:rPr>
            </w:pPr>
            <w:r>
              <w:rPr>
                <w:rFonts w:ascii="Arial" w:eastAsia="Times New Roman" w:hAnsi="Arial" w:cs="Arial"/>
                <w:b/>
                <w:bCs/>
                <w:color w:val="000000"/>
                <w:sz w:val="20"/>
                <w:szCs w:val="20"/>
                <w:lang w:val="en-GB" w:eastAsia="en-GB"/>
              </w:rPr>
              <w:t>Authority has a valid</w:t>
            </w:r>
            <w:r w:rsidR="00A944CE" w:rsidRPr="00A944CE">
              <w:rPr>
                <w:rFonts w:ascii="Arial" w:eastAsia="Times New Roman" w:hAnsi="Arial" w:cs="Arial"/>
                <w:b/>
                <w:bCs/>
                <w:color w:val="000000"/>
                <w:sz w:val="20"/>
                <w:szCs w:val="20"/>
                <w:lang w:val="en-GB" w:eastAsia="en-GB"/>
              </w:rPr>
              <w:t xml:space="preserve"> S167 list</w:t>
            </w:r>
            <w:r w:rsidR="00654E1F">
              <w:rPr>
                <w:rFonts w:ascii="Arial" w:eastAsia="Times New Roman" w:hAnsi="Arial" w:cs="Arial"/>
                <w:b/>
                <w:bCs/>
                <w:color w:val="000000"/>
                <w:sz w:val="20"/>
                <w:szCs w:val="20"/>
                <w:lang w:val="en-GB" w:eastAsia="en-GB"/>
              </w:rPr>
              <w:t xml:space="preserve"> in place</w:t>
            </w:r>
          </w:p>
        </w:tc>
      </w:tr>
      <w:tr w:rsidR="00A944CE" w:rsidRPr="00A944CE" w14:paraId="553E16F9" w14:textId="77777777" w:rsidTr="00152BEA">
        <w:trPr>
          <w:trHeight w:val="255"/>
          <w:jc w:val="center"/>
        </w:trPr>
        <w:tc>
          <w:tcPr>
            <w:tcW w:w="1340" w:type="dxa"/>
            <w:tcBorders>
              <w:top w:val="single" w:sz="4" w:space="0" w:color="EDEDED"/>
              <w:left w:val="nil"/>
              <w:bottom w:val="single" w:sz="4" w:space="0" w:color="EDEDED"/>
              <w:right w:val="single" w:sz="4" w:space="0" w:color="A5A5A5"/>
            </w:tcBorders>
            <w:shd w:val="clear" w:color="FFFFCC" w:fill="C1FFC1"/>
            <w:noWrap/>
            <w:vAlign w:val="bottom"/>
            <w:hideMark/>
          </w:tcPr>
          <w:p w14:paraId="711EC96E" w14:textId="77777777" w:rsidR="00A944CE" w:rsidRPr="00A944CE" w:rsidRDefault="00A944CE" w:rsidP="00A944CE">
            <w:pPr>
              <w:spacing w:after="0" w:line="240" w:lineRule="auto"/>
              <w:jc w:val="center"/>
              <w:rPr>
                <w:rFonts w:ascii="Arial" w:eastAsia="Times New Roman" w:hAnsi="Arial" w:cs="Arial"/>
                <w:b/>
                <w:bCs/>
                <w:color w:val="375623"/>
                <w:sz w:val="20"/>
                <w:szCs w:val="20"/>
                <w:lang w:val="en-GB" w:eastAsia="en-GB"/>
              </w:rPr>
            </w:pPr>
            <w:r w:rsidRPr="00A944CE">
              <w:rPr>
                <w:rFonts w:ascii="Arial" w:eastAsia="Times New Roman" w:hAnsi="Arial" w:cs="Arial"/>
                <w:b/>
                <w:bCs/>
                <w:color w:val="375623"/>
                <w:sz w:val="20"/>
                <w:szCs w:val="20"/>
                <w:lang w:val="en-GB" w:eastAsia="en-GB"/>
              </w:rPr>
              <w:t>B</w:t>
            </w:r>
          </w:p>
        </w:tc>
        <w:tc>
          <w:tcPr>
            <w:tcW w:w="6315" w:type="dxa"/>
            <w:tcBorders>
              <w:top w:val="nil"/>
              <w:left w:val="nil"/>
              <w:bottom w:val="nil"/>
              <w:right w:val="nil"/>
            </w:tcBorders>
            <w:shd w:val="clear" w:color="FFFFCC" w:fill="FFFFFF"/>
            <w:noWrap/>
            <w:vAlign w:val="bottom"/>
            <w:hideMark/>
          </w:tcPr>
          <w:p w14:paraId="45227061" w14:textId="77777777" w:rsidR="00A944CE" w:rsidRPr="00A944CE" w:rsidRDefault="00152BEA" w:rsidP="00A944CE">
            <w:pPr>
              <w:spacing w:after="0" w:line="240" w:lineRule="auto"/>
              <w:jc w:val="left"/>
              <w:rPr>
                <w:rFonts w:ascii="Arial" w:eastAsia="Times New Roman" w:hAnsi="Arial" w:cs="Arial"/>
                <w:b/>
                <w:bCs/>
                <w:color w:val="000000"/>
                <w:sz w:val="20"/>
                <w:szCs w:val="20"/>
                <w:lang w:val="en-GB" w:eastAsia="en-GB"/>
              </w:rPr>
            </w:pPr>
            <w:r>
              <w:rPr>
                <w:rFonts w:ascii="Arial" w:eastAsia="Times New Roman" w:hAnsi="Arial" w:cs="Arial"/>
                <w:b/>
                <w:bCs/>
                <w:color w:val="000000"/>
                <w:sz w:val="20"/>
                <w:szCs w:val="20"/>
                <w:lang w:val="en-GB" w:eastAsia="en-GB"/>
              </w:rPr>
              <w:t>Authority intends to p</w:t>
            </w:r>
            <w:r w:rsidR="00A944CE" w:rsidRPr="00A944CE">
              <w:rPr>
                <w:rFonts w:ascii="Arial" w:eastAsia="Times New Roman" w:hAnsi="Arial" w:cs="Arial"/>
                <w:b/>
                <w:bCs/>
                <w:color w:val="000000"/>
                <w:sz w:val="20"/>
                <w:szCs w:val="20"/>
                <w:lang w:val="en-GB" w:eastAsia="en-GB"/>
              </w:rPr>
              <w:t>roduc</w:t>
            </w:r>
            <w:r>
              <w:rPr>
                <w:rFonts w:ascii="Arial" w:eastAsia="Times New Roman" w:hAnsi="Arial" w:cs="Arial"/>
                <w:b/>
                <w:bCs/>
                <w:color w:val="000000"/>
                <w:sz w:val="20"/>
                <w:szCs w:val="20"/>
                <w:lang w:val="en-GB" w:eastAsia="en-GB"/>
              </w:rPr>
              <w:t>e</w:t>
            </w:r>
            <w:r w:rsidR="00A944CE" w:rsidRPr="00A944CE">
              <w:rPr>
                <w:rFonts w:ascii="Arial" w:eastAsia="Times New Roman" w:hAnsi="Arial" w:cs="Arial"/>
                <w:b/>
                <w:bCs/>
                <w:color w:val="000000"/>
                <w:sz w:val="20"/>
                <w:szCs w:val="20"/>
                <w:lang w:val="en-GB" w:eastAsia="en-GB"/>
              </w:rPr>
              <w:t xml:space="preserve"> </w:t>
            </w:r>
            <w:r>
              <w:rPr>
                <w:rFonts w:ascii="Arial" w:eastAsia="Times New Roman" w:hAnsi="Arial" w:cs="Arial"/>
                <w:b/>
                <w:bCs/>
                <w:color w:val="000000"/>
                <w:sz w:val="20"/>
                <w:szCs w:val="20"/>
                <w:lang w:val="en-GB" w:eastAsia="en-GB"/>
              </w:rPr>
              <w:t xml:space="preserve">a </w:t>
            </w:r>
            <w:r w:rsidR="00A944CE" w:rsidRPr="00A944CE">
              <w:rPr>
                <w:rFonts w:ascii="Arial" w:eastAsia="Times New Roman" w:hAnsi="Arial" w:cs="Arial"/>
                <w:b/>
                <w:bCs/>
                <w:color w:val="000000"/>
                <w:sz w:val="20"/>
                <w:szCs w:val="20"/>
                <w:lang w:val="en-GB" w:eastAsia="en-GB"/>
              </w:rPr>
              <w:t>S167 list this financial year</w:t>
            </w:r>
          </w:p>
        </w:tc>
      </w:tr>
      <w:tr w:rsidR="00A944CE" w:rsidRPr="00A944CE" w14:paraId="54478589" w14:textId="77777777" w:rsidTr="00152BEA">
        <w:trPr>
          <w:trHeight w:val="255"/>
          <w:jc w:val="center"/>
        </w:trPr>
        <w:tc>
          <w:tcPr>
            <w:tcW w:w="1340" w:type="dxa"/>
            <w:tcBorders>
              <w:top w:val="single" w:sz="4" w:space="0" w:color="EDEDED"/>
              <w:left w:val="nil"/>
              <w:bottom w:val="single" w:sz="4" w:space="0" w:color="EDEDED"/>
              <w:right w:val="single" w:sz="4" w:space="0" w:color="A5A5A5"/>
            </w:tcBorders>
            <w:shd w:val="clear" w:color="FFFFCC" w:fill="FFFF66"/>
            <w:noWrap/>
            <w:vAlign w:val="bottom"/>
            <w:hideMark/>
          </w:tcPr>
          <w:p w14:paraId="4A043136" w14:textId="77777777" w:rsidR="00A944CE" w:rsidRPr="00A944CE" w:rsidRDefault="00A944CE" w:rsidP="00A944CE">
            <w:pPr>
              <w:spacing w:after="0" w:line="240" w:lineRule="auto"/>
              <w:jc w:val="center"/>
              <w:rPr>
                <w:rFonts w:ascii="Arial" w:eastAsia="Times New Roman" w:hAnsi="Arial" w:cs="Arial"/>
                <w:b/>
                <w:bCs/>
                <w:color w:val="806000"/>
                <w:sz w:val="20"/>
                <w:szCs w:val="20"/>
                <w:lang w:val="en-GB" w:eastAsia="en-GB"/>
              </w:rPr>
            </w:pPr>
            <w:r w:rsidRPr="00A944CE">
              <w:rPr>
                <w:rFonts w:ascii="Arial" w:eastAsia="Times New Roman" w:hAnsi="Arial" w:cs="Arial"/>
                <w:b/>
                <w:bCs/>
                <w:color w:val="806000"/>
                <w:sz w:val="20"/>
                <w:szCs w:val="20"/>
                <w:lang w:val="en-GB" w:eastAsia="en-GB"/>
              </w:rPr>
              <w:t>C</w:t>
            </w:r>
          </w:p>
        </w:tc>
        <w:tc>
          <w:tcPr>
            <w:tcW w:w="6315" w:type="dxa"/>
            <w:tcBorders>
              <w:top w:val="nil"/>
              <w:left w:val="nil"/>
              <w:bottom w:val="nil"/>
              <w:right w:val="nil"/>
            </w:tcBorders>
            <w:shd w:val="clear" w:color="FFFFCC" w:fill="FFFFFF"/>
            <w:noWrap/>
            <w:vAlign w:val="bottom"/>
            <w:hideMark/>
          </w:tcPr>
          <w:p w14:paraId="1DE0CDE5" w14:textId="77777777" w:rsidR="00A944CE" w:rsidRPr="00A944CE" w:rsidRDefault="00152BEA" w:rsidP="00A944CE">
            <w:pPr>
              <w:spacing w:after="0" w:line="240" w:lineRule="auto"/>
              <w:jc w:val="left"/>
              <w:rPr>
                <w:rFonts w:ascii="Arial" w:eastAsia="Times New Roman" w:hAnsi="Arial" w:cs="Arial"/>
                <w:b/>
                <w:bCs/>
                <w:color w:val="000000"/>
                <w:sz w:val="20"/>
                <w:szCs w:val="20"/>
                <w:lang w:val="en-GB" w:eastAsia="en-GB"/>
              </w:rPr>
            </w:pPr>
            <w:r>
              <w:rPr>
                <w:rFonts w:ascii="Arial" w:eastAsia="Times New Roman" w:hAnsi="Arial" w:cs="Arial"/>
                <w:b/>
                <w:bCs/>
                <w:color w:val="000000"/>
                <w:sz w:val="20"/>
                <w:szCs w:val="20"/>
                <w:lang w:val="en-GB" w:eastAsia="en-GB"/>
              </w:rPr>
              <w:t>Authority intends to p</w:t>
            </w:r>
            <w:r w:rsidR="00A944CE" w:rsidRPr="00A944CE">
              <w:rPr>
                <w:rFonts w:ascii="Arial" w:eastAsia="Times New Roman" w:hAnsi="Arial" w:cs="Arial"/>
                <w:b/>
                <w:bCs/>
                <w:color w:val="000000"/>
                <w:sz w:val="20"/>
                <w:szCs w:val="20"/>
                <w:lang w:val="en-GB" w:eastAsia="en-GB"/>
              </w:rPr>
              <w:t>roduc</w:t>
            </w:r>
            <w:r>
              <w:rPr>
                <w:rFonts w:ascii="Arial" w:eastAsia="Times New Roman" w:hAnsi="Arial" w:cs="Arial"/>
                <w:b/>
                <w:bCs/>
                <w:color w:val="000000"/>
                <w:sz w:val="20"/>
                <w:szCs w:val="20"/>
                <w:lang w:val="en-GB" w:eastAsia="en-GB"/>
              </w:rPr>
              <w:t>e</w:t>
            </w:r>
            <w:r w:rsidR="00A944CE" w:rsidRPr="00A944CE">
              <w:rPr>
                <w:rFonts w:ascii="Arial" w:eastAsia="Times New Roman" w:hAnsi="Arial" w:cs="Arial"/>
                <w:b/>
                <w:bCs/>
                <w:color w:val="000000"/>
                <w:sz w:val="20"/>
                <w:szCs w:val="20"/>
                <w:lang w:val="en-GB" w:eastAsia="en-GB"/>
              </w:rPr>
              <w:t xml:space="preserve"> S167 list but </w:t>
            </w:r>
            <w:r>
              <w:rPr>
                <w:rFonts w:ascii="Arial" w:eastAsia="Times New Roman" w:hAnsi="Arial" w:cs="Arial"/>
                <w:b/>
                <w:bCs/>
                <w:color w:val="000000"/>
                <w:sz w:val="20"/>
                <w:szCs w:val="20"/>
                <w:lang w:val="en-GB" w:eastAsia="en-GB"/>
              </w:rPr>
              <w:t xml:space="preserve">has </w:t>
            </w:r>
            <w:r w:rsidR="00A944CE" w:rsidRPr="00A944CE">
              <w:rPr>
                <w:rFonts w:ascii="Arial" w:eastAsia="Times New Roman" w:hAnsi="Arial" w:cs="Arial"/>
                <w:b/>
                <w:bCs/>
                <w:color w:val="000000"/>
                <w:sz w:val="20"/>
                <w:szCs w:val="20"/>
                <w:lang w:val="en-GB" w:eastAsia="en-GB"/>
              </w:rPr>
              <w:t>no clear deadline</w:t>
            </w:r>
          </w:p>
        </w:tc>
      </w:tr>
      <w:tr w:rsidR="00A944CE" w:rsidRPr="00A944CE" w14:paraId="47FE2D3B" w14:textId="77777777" w:rsidTr="00152BEA">
        <w:trPr>
          <w:trHeight w:val="255"/>
          <w:jc w:val="center"/>
        </w:trPr>
        <w:tc>
          <w:tcPr>
            <w:tcW w:w="1340" w:type="dxa"/>
            <w:tcBorders>
              <w:top w:val="single" w:sz="4" w:space="0" w:color="EDEDED"/>
              <w:left w:val="nil"/>
              <w:bottom w:val="single" w:sz="4" w:space="0" w:color="EDEDED"/>
              <w:right w:val="single" w:sz="4" w:space="0" w:color="A5A5A5"/>
            </w:tcBorders>
            <w:shd w:val="clear" w:color="FFFFCC" w:fill="FFC267"/>
            <w:noWrap/>
            <w:vAlign w:val="bottom"/>
            <w:hideMark/>
          </w:tcPr>
          <w:p w14:paraId="56DAAD36" w14:textId="77777777" w:rsidR="00A944CE" w:rsidRPr="00A944CE" w:rsidRDefault="00A944CE" w:rsidP="00A944CE">
            <w:pPr>
              <w:spacing w:after="0" w:line="240" w:lineRule="auto"/>
              <w:jc w:val="center"/>
              <w:rPr>
                <w:rFonts w:ascii="Arial" w:eastAsia="Times New Roman" w:hAnsi="Arial" w:cs="Arial"/>
                <w:b/>
                <w:bCs/>
                <w:color w:val="833C0C"/>
                <w:sz w:val="20"/>
                <w:szCs w:val="20"/>
                <w:lang w:val="en-GB" w:eastAsia="en-GB"/>
              </w:rPr>
            </w:pPr>
            <w:r w:rsidRPr="00A944CE">
              <w:rPr>
                <w:rFonts w:ascii="Arial" w:eastAsia="Times New Roman" w:hAnsi="Arial" w:cs="Arial"/>
                <w:b/>
                <w:bCs/>
                <w:color w:val="833C0C"/>
                <w:sz w:val="20"/>
                <w:szCs w:val="20"/>
                <w:lang w:val="en-GB" w:eastAsia="en-GB"/>
              </w:rPr>
              <w:t>D</w:t>
            </w:r>
          </w:p>
        </w:tc>
        <w:tc>
          <w:tcPr>
            <w:tcW w:w="6315" w:type="dxa"/>
            <w:tcBorders>
              <w:top w:val="nil"/>
              <w:left w:val="nil"/>
              <w:bottom w:val="nil"/>
              <w:right w:val="nil"/>
            </w:tcBorders>
            <w:shd w:val="clear" w:color="FFFFCC" w:fill="FFFFFF"/>
            <w:noWrap/>
            <w:vAlign w:val="bottom"/>
            <w:hideMark/>
          </w:tcPr>
          <w:p w14:paraId="1E33E5A8" w14:textId="5870D886" w:rsidR="00A944CE" w:rsidRPr="00A944CE" w:rsidRDefault="00152BEA" w:rsidP="00A944CE">
            <w:pPr>
              <w:spacing w:after="0" w:line="240" w:lineRule="auto"/>
              <w:jc w:val="left"/>
              <w:rPr>
                <w:rFonts w:ascii="Arial" w:eastAsia="Times New Roman" w:hAnsi="Arial" w:cs="Arial"/>
                <w:b/>
                <w:bCs/>
                <w:color w:val="000000"/>
                <w:sz w:val="20"/>
                <w:szCs w:val="20"/>
                <w:lang w:val="en-GB" w:eastAsia="en-GB"/>
              </w:rPr>
            </w:pPr>
            <w:r>
              <w:rPr>
                <w:rFonts w:ascii="Arial" w:eastAsia="Times New Roman" w:hAnsi="Arial" w:cs="Arial"/>
                <w:b/>
                <w:bCs/>
                <w:color w:val="000000"/>
                <w:sz w:val="20"/>
                <w:szCs w:val="20"/>
                <w:lang w:val="en-GB" w:eastAsia="en-GB"/>
              </w:rPr>
              <w:t xml:space="preserve">Authority </w:t>
            </w:r>
            <w:r w:rsidR="00654E1F">
              <w:rPr>
                <w:rFonts w:ascii="Arial" w:eastAsia="Times New Roman" w:hAnsi="Arial" w:cs="Arial"/>
                <w:b/>
                <w:bCs/>
                <w:color w:val="000000"/>
                <w:sz w:val="20"/>
                <w:szCs w:val="20"/>
                <w:lang w:val="en-GB" w:eastAsia="en-GB"/>
              </w:rPr>
              <w:t xml:space="preserve">is </w:t>
            </w:r>
            <w:r>
              <w:rPr>
                <w:rFonts w:ascii="Arial" w:eastAsia="Times New Roman" w:hAnsi="Arial" w:cs="Arial"/>
                <w:b/>
                <w:bCs/>
                <w:color w:val="000000"/>
                <w:sz w:val="20"/>
                <w:szCs w:val="20"/>
                <w:lang w:val="en-GB" w:eastAsia="en-GB"/>
              </w:rPr>
              <w:t>currently u</w:t>
            </w:r>
            <w:r w:rsidR="00A944CE" w:rsidRPr="00A944CE">
              <w:rPr>
                <w:rFonts w:ascii="Arial" w:eastAsia="Times New Roman" w:hAnsi="Arial" w:cs="Arial"/>
                <w:b/>
                <w:bCs/>
                <w:color w:val="000000"/>
                <w:sz w:val="20"/>
                <w:szCs w:val="20"/>
                <w:lang w:val="en-GB" w:eastAsia="en-GB"/>
              </w:rPr>
              <w:t xml:space="preserve">ndecided whether </w:t>
            </w:r>
            <w:r>
              <w:rPr>
                <w:rFonts w:ascii="Arial" w:eastAsia="Times New Roman" w:hAnsi="Arial" w:cs="Arial"/>
                <w:b/>
                <w:bCs/>
                <w:color w:val="000000"/>
                <w:sz w:val="20"/>
                <w:szCs w:val="20"/>
                <w:lang w:val="en-GB" w:eastAsia="en-GB"/>
              </w:rPr>
              <w:t xml:space="preserve">to </w:t>
            </w:r>
            <w:r w:rsidR="00A944CE" w:rsidRPr="00A944CE">
              <w:rPr>
                <w:rFonts w:ascii="Arial" w:eastAsia="Times New Roman" w:hAnsi="Arial" w:cs="Arial"/>
                <w:b/>
                <w:bCs/>
                <w:color w:val="000000"/>
                <w:sz w:val="20"/>
                <w:szCs w:val="20"/>
                <w:lang w:val="en-GB" w:eastAsia="en-GB"/>
              </w:rPr>
              <w:t>produc</w:t>
            </w:r>
            <w:r>
              <w:rPr>
                <w:rFonts w:ascii="Arial" w:eastAsia="Times New Roman" w:hAnsi="Arial" w:cs="Arial"/>
                <w:b/>
                <w:bCs/>
                <w:color w:val="000000"/>
                <w:sz w:val="20"/>
                <w:szCs w:val="20"/>
                <w:lang w:val="en-GB" w:eastAsia="en-GB"/>
              </w:rPr>
              <w:t>e a</w:t>
            </w:r>
            <w:r w:rsidR="00A944CE" w:rsidRPr="00A944CE">
              <w:rPr>
                <w:rFonts w:ascii="Arial" w:eastAsia="Times New Roman" w:hAnsi="Arial" w:cs="Arial"/>
                <w:b/>
                <w:bCs/>
                <w:color w:val="000000"/>
                <w:sz w:val="20"/>
                <w:szCs w:val="20"/>
                <w:lang w:val="en-GB" w:eastAsia="en-GB"/>
              </w:rPr>
              <w:t xml:space="preserve"> S167 list</w:t>
            </w:r>
          </w:p>
        </w:tc>
      </w:tr>
      <w:tr w:rsidR="00A944CE" w:rsidRPr="00A944CE" w14:paraId="06430E3E" w14:textId="77777777" w:rsidTr="00152BEA">
        <w:trPr>
          <w:trHeight w:val="255"/>
          <w:jc w:val="center"/>
        </w:trPr>
        <w:tc>
          <w:tcPr>
            <w:tcW w:w="1340" w:type="dxa"/>
            <w:tcBorders>
              <w:top w:val="single" w:sz="4" w:space="0" w:color="EDEDED"/>
              <w:left w:val="nil"/>
              <w:bottom w:val="single" w:sz="4" w:space="0" w:color="EDEDED"/>
              <w:right w:val="single" w:sz="4" w:space="0" w:color="A5A5A5"/>
            </w:tcBorders>
            <w:shd w:val="clear" w:color="FFFFCC" w:fill="FE7966"/>
            <w:noWrap/>
            <w:vAlign w:val="bottom"/>
            <w:hideMark/>
          </w:tcPr>
          <w:p w14:paraId="7D1A0A0B" w14:textId="77777777" w:rsidR="00A944CE" w:rsidRPr="00A944CE" w:rsidRDefault="00A944CE" w:rsidP="00A944CE">
            <w:pPr>
              <w:spacing w:after="0" w:line="240" w:lineRule="auto"/>
              <w:jc w:val="center"/>
              <w:rPr>
                <w:rFonts w:ascii="Arial" w:eastAsia="Times New Roman" w:hAnsi="Arial" w:cs="Arial"/>
                <w:b/>
                <w:bCs/>
                <w:color w:val="161616"/>
                <w:sz w:val="20"/>
                <w:szCs w:val="20"/>
                <w:lang w:val="en-GB" w:eastAsia="en-GB"/>
              </w:rPr>
            </w:pPr>
            <w:r w:rsidRPr="00A944CE">
              <w:rPr>
                <w:rFonts w:ascii="Arial" w:eastAsia="Times New Roman" w:hAnsi="Arial" w:cs="Arial"/>
                <w:b/>
                <w:bCs/>
                <w:color w:val="161616"/>
                <w:sz w:val="20"/>
                <w:szCs w:val="20"/>
                <w:lang w:val="en-GB" w:eastAsia="en-GB"/>
              </w:rPr>
              <w:t>E</w:t>
            </w:r>
          </w:p>
        </w:tc>
        <w:tc>
          <w:tcPr>
            <w:tcW w:w="6315" w:type="dxa"/>
            <w:tcBorders>
              <w:top w:val="nil"/>
              <w:left w:val="nil"/>
              <w:bottom w:val="nil"/>
              <w:right w:val="nil"/>
            </w:tcBorders>
            <w:shd w:val="clear" w:color="FFFFCC" w:fill="FFFFFF"/>
            <w:noWrap/>
            <w:vAlign w:val="bottom"/>
            <w:hideMark/>
          </w:tcPr>
          <w:p w14:paraId="6B00517D" w14:textId="77777777" w:rsidR="00A944CE" w:rsidRPr="00A944CE" w:rsidRDefault="00152BEA" w:rsidP="00C00560">
            <w:pPr>
              <w:keepNext/>
              <w:spacing w:after="0" w:line="240" w:lineRule="auto"/>
              <w:jc w:val="left"/>
              <w:rPr>
                <w:rFonts w:ascii="Arial" w:eastAsia="Times New Roman" w:hAnsi="Arial" w:cs="Arial"/>
                <w:b/>
                <w:bCs/>
                <w:color w:val="000000"/>
                <w:sz w:val="20"/>
                <w:szCs w:val="20"/>
                <w:lang w:val="en-GB" w:eastAsia="en-GB"/>
              </w:rPr>
            </w:pPr>
            <w:r>
              <w:rPr>
                <w:rFonts w:ascii="Arial" w:eastAsia="Times New Roman" w:hAnsi="Arial" w:cs="Arial"/>
                <w:b/>
                <w:bCs/>
                <w:color w:val="000000"/>
                <w:sz w:val="20"/>
                <w:szCs w:val="20"/>
                <w:lang w:val="en-GB" w:eastAsia="en-GB"/>
              </w:rPr>
              <w:t>Authority has n</w:t>
            </w:r>
            <w:r w:rsidR="00A944CE" w:rsidRPr="00A944CE">
              <w:rPr>
                <w:rFonts w:ascii="Arial" w:eastAsia="Times New Roman" w:hAnsi="Arial" w:cs="Arial"/>
                <w:b/>
                <w:bCs/>
                <w:color w:val="000000"/>
                <w:sz w:val="20"/>
                <w:szCs w:val="20"/>
                <w:lang w:val="en-GB" w:eastAsia="en-GB"/>
              </w:rPr>
              <w:t>o current plans to produce</w:t>
            </w:r>
            <w:r w:rsidR="00C1175C">
              <w:rPr>
                <w:rFonts w:ascii="Arial" w:eastAsia="Times New Roman" w:hAnsi="Arial" w:cs="Arial"/>
                <w:b/>
                <w:bCs/>
                <w:color w:val="000000"/>
                <w:sz w:val="20"/>
                <w:szCs w:val="20"/>
                <w:lang w:val="en-GB" w:eastAsia="en-GB"/>
              </w:rPr>
              <w:t xml:space="preserve"> a</w:t>
            </w:r>
            <w:r w:rsidR="00A944CE" w:rsidRPr="00A944CE">
              <w:rPr>
                <w:rFonts w:ascii="Arial" w:eastAsia="Times New Roman" w:hAnsi="Arial" w:cs="Arial"/>
                <w:b/>
                <w:bCs/>
                <w:color w:val="000000"/>
                <w:sz w:val="20"/>
                <w:szCs w:val="20"/>
                <w:lang w:val="en-GB" w:eastAsia="en-GB"/>
              </w:rPr>
              <w:t xml:space="preserve"> S167 list</w:t>
            </w:r>
          </w:p>
        </w:tc>
      </w:tr>
    </w:tbl>
    <w:p w14:paraId="55860E4E" w14:textId="687F7610" w:rsidR="00A944CE" w:rsidRDefault="00C00560" w:rsidP="00335219">
      <w:pPr>
        <w:pStyle w:val="Caption"/>
      </w:pPr>
      <w:bookmarkStart w:id="47" w:name="_Toc488083828"/>
      <w:bookmarkStart w:id="48" w:name="_Toc512556858"/>
      <w:r>
        <w:t xml:space="preserve">Table </w:t>
      </w:r>
      <w:r w:rsidR="00005B77">
        <w:fldChar w:fldCharType="begin"/>
      </w:r>
      <w:r w:rsidR="00005B77">
        <w:instrText xml:space="preserve"> SEQ Table \* ARABIC </w:instrText>
      </w:r>
      <w:r w:rsidR="00005B77">
        <w:fldChar w:fldCharType="separate"/>
      </w:r>
      <w:r w:rsidR="0099156B">
        <w:rPr>
          <w:noProof/>
        </w:rPr>
        <w:t>1</w:t>
      </w:r>
      <w:r w:rsidR="00005B77">
        <w:fldChar w:fldCharType="end"/>
      </w:r>
      <w:r>
        <w:t xml:space="preserve"> </w:t>
      </w:r>
      <w:r w:rsidR="000573F2">
        <w:t>–</w:t>
      </w:r>
      <w:r>
        <w:t xml:space="preserve"> S167 grade</w:t>
      </w:r>
      <w:bookmarkEnd w:id="47"/>
      <w:bookmarkEnd w:id="48"/>
    </w:p>
    <w:p w14:paraId="5001F0A8" w14:textId="775DFA10" w:rsidR="00357C19" w:rsidRDefault="00372650" w:rsidP="006820F3">
      <w:r>
        <w:t xml:space="preserve">For further simplification, </w:t>
      </w:r>
      <w:r w:rsidR="00A944CE">
        <w:t xml:space="preserve">I </w:t>
      </w:r>
      <w:r w:rsidR="00654E1F">
        <w:t>also</w:t>
      </w:r>
      <w:r>
        <w:t xml:space="preserve"> </w:t>
      </w:r>
      <w:r w:rsidR="00A944CE">
        <w:t>split councils as follows:</w:t>
      </w:r>
    </w:p>
    <w:p w14:paraId="757A3AFD" w14:textId="77777777" w:rsidR="00204990" w:rsidRPr="00204990" w:rsidRDefault="00204990" w:rsidP="006820F3">
      <w:pPr>
        <w:rPr>
          <w:b/>
        </w:rPr>
      </w:pPr>
      <w:r w:rsidRPr="00204990">
        <w:rPr>
          <w:b/>
        </w:rPr>
        <w:t>S167 intent</w:t>
      </w:r>
    </w:p>
    <w:tbl>
      <w:tblPr>
        <w:tblW w:w="9356" w:type="dxa"/>
        <w:tblCellMar>
          <w:top w:w="15" w:type="dxa"/>
          <w:bottom w:w="15" w:type="dxa"/>
        </w:tblCellMar>
        <w:tblLook w:val="04A0" w:firstRow="1" w:lastRow="0" w:firstColumn="1" w:lastColumn="0" w:noHBand="0" w:noVBand="1"/>
      </w:tblPr>
      <w:tblGrid>
        <w:gridCol w:w="1340"/>
        <w:gridCol w:w="7732"/>
        <w:gridCol w:w="284"/>
      </w:tblGrid>
      <w:tr w:rsidR="00204990" w:rsidRPr="00204990" w14:paraId="436662D0" w14:textId="77777777" w:rsidTr="00D97805">
        <w:trPr>
          <w:trHeight w:val="255"/>
        </w:trPr>
        <w:tc>
          <w:tcPr>
            <w:tcW w:w="1340" w:type="dxa"/>
            <w:tcBorders>
              <w:top w:val="nil"/>
              <w:left w:val="nil"/>
              <w:bottom w:val="nil"/>
              <w:right w:val="nil"/>
            </w:tcBorders>
            <w:shd w:val="clear" w:color="FFFFCC" w:fill="99BD66"/>
            <w:noWrap/>
            <w:vAlign w:val="center"/>
            <w:hideMark/>
          </w:tcPr>
          <w:p w14:paraId="6D35F391" w14:textId="77777777" w:rsidR="00204990" w:rsidRPr="00204990" w:rsidRDefault="00204990" w:rsidP="00D97805">
            <w:pPr>
              <w:spacing w:after="0" w:line="240" w:lineRule="auto"/>
              <w:jc w:val="center"/>
              <w:rPr>
                <w:rFonts w:ascii="Arial" w:eastAsia="Times New Roman" w:hAnsi="Arial" w:cs="Arial"/>
                <w:b/>
                <w:bCs/>
                <w:color w:val="000000"/>
                <w:sz w:val="20"/>
                <w:szCs w:val="20"/>
                <w:lang w:val="en-GB" w:eastAsia="en-GB"/>
              </w:rPr>
            </w:pPr>
            <w:r w:rsidRPr="00204990">
              <w:rPr>
                <w:rFonts w:ascii="Arial" w:eastAsia="Times New Roman" w:hAnsi="Arial" w:cs="Arial"/>
                <w:b/>
                <w:bCs/>
                <w:color w:val="000000"/>
                <w:sz w:val="20"/>
                <w:szCs w:val="20"/>
                <w:lang w:val="en-GB" w:eastAsia="en-GB"/>
              </w:rPr>
              <w:t>Yes</w:t>
            </w:r>
          </w:p>
        </w:tc>
        <w:tc>
          <w:tcPr>
            <w:tcW w:w="8016" w:type="dxa"/>
            <w:gridSpan w:val="2"/>
            <w:tcBorders>
              <w:top w:val="nil"/>
              <w:left w:val="nil"/>
              <w:bottom w:val="nil"/>
              <w:right w:val="nil"/>
            </w:tcBorders>
            <w:shd w:val="clear" w:color="FFFFCC" w:fill="FFFFFF"/>
            <w:noWrap/>
            <w:vAlign w:val="bottom"/>
            <w:hideMark/>
          </w:tcPr>
          <w:p w14:paraId="49CE0506" w14:textId="77777777" w:rsidR="00D97805" w:rsidRPr="00B477A2" w:rsidRDefault="00D97805" w:rsidP="00204990">
            <w:pPr>
              <w:spacing w:after="0" w:line="240" w:lineRule="auto"/>
              <w:jc w:val="left"/>
              <w:rPr>
                <w:rFonts w:ascii="Arial" w:eastAsia="Times New Roman" w:hAnsi="Arial" w:cs="Arial"/>
                <w:b/>
                <w:bCs/>
                <w:color w:val="000000"/>
                <w:sz w:val="20"/>
                <w:szCs w:val="20"/>
                <w:lang w:val="en-GB" w:eastAsia="en-GB"/>
              </w:rPr>
            </w:pPr>
            <w:r w:rsidRPr="00B477A2">
              <w:rPr>
                <w:rFonts w:ascii="Arial" w:eastAsia="Times New Roman" w:hAnsi="Arial" w:cs="Arial"/>
                <w:b/>
                <w:bCs/>
                <w:color w:val="000000"/>
                <w:sz w:val="20"/>
                <w:szCs w:val="20"/>
                <w:lang w:val="en-GB" w:eastAsia="en-GB"/>
              </w:rPr>
              <w:t xml:space="preserve">Authority </w:t>
            </w:r>
            <w:r w:rsidR="00204990" w:rsidRPr="00B477A2">
              <w:rPr>
                <w:rFonts w:ascii="Arial" w:eastAsia="Times New Roman" w:hAnsi="Arial" w:cs="Arial"/>
                <w:b/>
                <w:bCs/>
                <w:color w:val="000000"/>
                <w:sz w:val="20"/>
                <w:szCs w:val="20"/>
                <w:lang w:val="en-GB" w:eastAsia="en-GB"/>
              </w:rPr>
              <w:t>ha</w:t>
            </w:r>
            <w:r w:rsidRPr="00B477A2">
              <w:rPr>
                <w:rFonts w:ascii="Arial" w:eastAsia="Times New Roman" w:hAnsi="Arial" w:cs="Arial"/>
                <w:b/>
                <w:bCs/>
                <w:color w:val="000000"/>
                <w:sz w:val="20"/>
                <w:szCs w:val="20"/>
                <w:lang w:val="en-GB" w:eastAsia="en-GB"/>
              </w:rPr>
              <w:t>s</w:t>
            </w:r>
            <w:r w:rsidR="00204990" w:rsidRPr="00B477A2">
              <w:rPr>
                <w:rFonts w:ascii="Arial" w:eastAsia="Times New Roman" w:hAnsi="Arial" w:cs="Arial"/>
                <w:b/>
                <w:bCs/>
                <w:color w:val="000000"/>
                <w:sz w:val="20"/>
                <w:szCs w:val="20"/>
                <w:lang w:val="en-GB" w:eastAsia="en-GB"/>
              </w:rPr>
              <w:t xml:space="preserve"> a </w:t>
            </w:r>
            <w:r w:rsidRPr="00B477A2">
              <w:rPr>
                <w:rFonts w:ascii="Arial" w:eastAsia="Times New Roman" w:hAnsi="Arial" w:cs="Arial"/>
                <w:b/>
                <w:bCs/>
                <w:color w:val="000000"/>
                <w:sz w:val="20"/>
                <w:szCs w:val="20"/>
                <w:lang w:val="en-GB" w:eastAsia="en-GB"/>
              </w:rPr>
              <w:t xml:space="preserve">current </w:t>
            </w:r>
            <w:r w:rsidR="00204990" w:rsidRPr="00B477A2">
              <w:rPr>
                <w:rFonts w:ascii="Arial" w:eastAsia="Times New Roman" w:hAnsi="Arial" w:cs="Arial"/>
                <w:b/>
                <w:bCs/>
                <w:color w:val="000000"/>
                <w:sz w:val="20"/>
                <w:szCs w:val="20"/>
                <w:lang w:val="en-GB" w:eastAsia="en-GB"/>
              </w:rPr>
              <w:t>S167 list</w:t>
            </w:r>
            <w:r w:rsidRPr="00B477A2">
              <w:rPr>
                <w:rFonts w:ascii="Arial" w:eastAsia="Times New Roman" w:hAnsi="Arial" w:cs="Arial"/>
                <w:b/>
                <w:bCs/>
                <w:color w:val="000000"/>
                <w:sz w:val="20"/>
                <w:szCs w:val="20"/>
                <w:lang w:val="en-GB" w:eastAsia="en-GB"/>
              </w:rPr>
              <w:t>,</w:t>
            </w:r>
            <w:r w:rsidR="00204990" w:rsidRPr="00B477A2">
              <w:rPr>
                <w:rFonts w:ascii="Arial" w:eastAsia="Times New Roman" w:hAnsi="Arial" w:cs="Arial"/>
                <w:b/>
                <w:bCs/>
                <w:color w:val="000000"/>
                <w:sz w:val="20"/>
                <w:szCs w:val="20"/>
                <w:lang w:val="en-GB" w:eastAsia="en-GB"/>
              </w:rPr>
              <w:t xml:space="preserve"> or intend</w:t>
            </w:r>
            <w:r w:rsidRPr="00B477A2">
              <w:rPr>
                <w:rFonts w:ascii="Arial" w:eastAsia="Times New Roman" w:hAnsi="Arial" w:cs="Arial"/>
                <w:b/>
                <w:bCs/>
                <w:color w:val="000000"/>
                <w:sz w:val="20"/>
                <w:szCs w:val="20"/>
                <w:lang w:val="en-GB" w:eastAsia="en-GB"/>
              </w:rPr>
              <w:t xml:space="preserve">s to produce </w:t>
            </w:r>
            <w:r w:rsidR="00204990" w:rsidRPr="00B477A2">
              <w:rPr>
                <w:rFonts w:ascii="Arial" w:eastAsia="Times New Roman" w:hAnsi="Arial" w:cs="Arial"/>
                <w:b/>
                <w:bCs/>
                <w:color w:val="000000"/>
                <w:sz w:val="20"/>
                <w:szCs w:val="20"/>
                <w:lang w:val="en-GB" w:eastAsia="en-GB"/>
              </w:rPr>
              <w:t xml:space="preserve">one this financial year </w:t>
            </w:r>
          </w:p>
          <w:p w14:paraId="7FA3A10D" w14:textId="77777777" w:rsidR="00204990" w:rsidRPr="00B477A2" w:rsidRDefault="00204990" w:rsidP="00204990">
            <w:pPr>
              <w:spacing w:after="0" w:line="240" w:lineRule="auto"/>
              <w:jc w:val="left"/>
              <w:rPr>
                <w:rFonts w:ascii="Arial" w:eastAsia="Times New Roman" w:hAnsi="Arial" w:cs="Arial"/>
                <w:b/>
                <w:bCs/>
                <w:color w:val="000000"/>
                <w:sz w:val="20"/>
                <w:szCs w:val="20"/>
                <w:lang w:val="en-GB" w:eastAsia="en-GB"/>
              </w:rPr>
            </w:pPr>
            <w:r w:rsidRPr="00B477A2">
              <w:rPr>
                <w:rFonts w:ascii="Arial" w:eastAsia="Times New Roman" w:hAnsi="Arial" w:cs="Arial"/>
                <w:b/>
                <w:bCs/>
                <w:color w:val="000000"/>
                <w:sz w:val="20"/>
                <w:szCs w:val="20"/>
                <w:lang w:val="en-GB" w:eastAsia="en-GB"/>
              </w:rPr>
              <w:t>(</w:t>
            </w:r>
            <w:r w:rsidR="00D97805" w:rsidRPr="00B477A2">
              <w:rPr>
                <w:rFonts w:ascii="Arial" w:eastAsia="Times New Roman" w:hAnsi="Arial" w:cs="Arial"/>
                <w:b/>
                <w:bCs/>
                <w:color w:val="000000"/>
                <w:sz w:val="20"/>
                <w:szCs w:val="20"/>
                <w:lang w:val="en-GB" w:eastAsia="en-GB"/>
              </w:rPr>
              <w:t xml:space="preserve">S167 grades </w:t>
            </w:r>
            <w:r w:rsidRPr="00B477A2">
              <w:rPr>
                <w:rFonts w:ascii="Arial" w:eastAsia="Times New Roman" w:hAnsi="Arial" w:cs="Arial"/>
                <w:b/>
                <w:bCs/>
                <w:color w:val="000000"/>
                <w:sz w:val="20"/>
                <w:szCs w:val="20"/>
                <w:lang w:val="en-GB" w:eastAsia="en-GB"/>
              </w:rPr>
              <w:t>A or B)</w:t>
            </w:r>
          </w:p>
        </w:tc>
      </w:tr>
      <w:tr w:rsidR="00204990" w:rsidRPr="00204990" w14:paraId="022AD09E" w14:textId="77777777" w:rsidTr="00D97805">
        <w:trPr>
          <w:trHeight w:val="255"/>
        </w:trPr>
        <w:tc>
          <w:tcPr>
            <w:tcW w:w="1340" w:type="dxa"/>
            <w:tcBorders>
              <w:top w:val="nil"/>
              <w:left w:val="nil"/>
              <w:bottom w:val="nil"/>
              <w:right w:val="nil"/>
            </w:tcBorders>
            <w:shd w:val="clear" w:color="FFFFCC" w:fill="FF7D67"/>
            <w:noWrap/>
            <w:vAlign w:val="center"/>
            <w:hideMark/>
          </w:tcPr>
          <w:p w14:paraId="49E99F67" w14:textId="77777777" w:rsidR="00204990" w:rsidRPr="00204990" w:rsidRDefault="00204990" w:rsidP="00D97805">
            <w:pPr>
              <w:spacing w:after="0" w:line="240" w:lineRule="auto"/>
              <w:jc w:val="center"/>
              <w:rPr>
                <w:rFonts w:ascii="Arial" w:eastAsia="Times New Roman" w:hAnsi="Arial" w:cs="Arial"/>
                <w:b/>
                <w:bCs/>
                <w:color w:val="000000"/>
                <w:sz w:val="20"/>
                <w:szCs w:val="20"/>
                <w:lang w:val="en-GB" w:eastAsia="en-GB"/>
              </w:rPr>
            </w:pPr>
            <w:r w:rsidRPr="00204990">
              <w:rPr>
                <w:rFonts w:ascii="Arial" w:eastAsia="Times New Roman" w:hAnsi="Arial" w:cs="Arial"/>
                <w:b/>
                <w:bCs/>
                <w:color w:val="000000"/>
                <w:sz w:val="20"/>
                <w:szCs w:val="20"/>
                <w:lang w:val="en-GB" w:eastAsia="en-GB"/>
              </w:rPr>
              <w:t>No</w:t>
            </w:r>
          </w:p>
        </w:tc>
        <w:tc>
          <w:tcPr>
            <w:tcW w:w="7732" w:type="dxa"/>
            <w:tcBorders>
              <w:top w:val="nil"/>
              <w:left w:val="nil"/>
              <w:bottom w:val="nil"/>
              <w:right w:val="nil"/>
            </w:tcBorders>
            <w:shd w:val="clear" w:color="FFFFCC" w:fill="FFFFFF"/>
            <w:noWrap/>
            <w:vAlign w:val="bottom"/>
            <w:hideMark/>
          </w:tcPr>
          <w:p w14:paraId="22950418" w14:textId="77777777" w:rsidR="00204990" w:rsidRPr="00B477A2" w:rsidRDefault="00D97805" w:rsidP="00204990">
            <w:pPr>
              <w:spacing w:after="0" w:line="240" w:lineRule="auto"/>
              <w:jc w:val="left"/>
              <w:rPr>
                <w:rFonts w:ascii="Arial" w:eastAsia="Times New Roman" w:hAnsi="Arial" w:cs="Arial"/>
                <w:b/>
                <w:bCs/>
                <w:color w:val="000000"/>
                <w:sz w:val="20"/>
                <w:szCs w:val="20"/>
                <w:lang w:val="en-GB" w:eastAsia="en-GB"/>
              </w:rPr>
            </w:pPr>
            <w:r w:rsidRPr="00B477A2">
              <w:rPr>
                <w:rFonts w:ascii="Arial" w:eastAsia="Times New Roman" w:hAnsi="Arial" w:cs="Arial"/>
                <w:b/>
                <w:bCs/>
                <w:color w:val="000000"/>
                <w:sz w:val="20"/>
                <w:szCs w:val="20"/>
                <w:lang w:val="en-GB" w:eastAsia="en-GB"/>
              </w:rPr>
              <w:t xml:space="preserve">Authority hasn’t set a date for producing a S167 list, has </w:t>
            </w:r>
            <w:r w:rsidR="00204990" w:rsidRPr="00B477A2">
              <w:rPr>
                <w:rFonts w:ascii="Arial" w:eastAsia="Times New Roman" w:hAnsi="Arial" w:cs="Arial"/>
                <w:b/>
                <w:bCs/>
                <w:color w:val="000000"/>
                <w:sz w:val="20"/>
                <w:szCs w:val="20"/>
                <w:lang w:val="en-GB" w:eastAsia="en-GB"/>
              </w:rPr>
              <w:t>yet to decide</w:t>
            </w:r>
            <w:r w:rsidRPr="00B477A2">
              <w:rPr>
                <w:rFonts w:ascii="Arial" w:eastAsia="Times New Roman" w:hAnsi="Arial" w:cs="Arial"/>
                <w:b/>
                <w:bCs/>
                <w:color w:val="000000"/>
                <w:sz w:val="20"/>
                <w:szCs w:val="20"/>
                <w:lang w:val="en-GB" w:eastAsia="en-GB"/>
              </w:rPr>
              <w:t xml:space="preserve"> whether to produce one or has no current plans to do so</w:t>
            </w:r>
            <w:r w:rsidR="00204990" w:rsidRPr="00B477A2">
              <w:rPr>
                <w:rFonts w:ascii="Arial" w:eastAsia="Times New Roman" w:hAnsi="Arial" w:cs="Arial"/>
                <w:b/>
                <w:bCs/>
                <w:color w:val="000000"/>
                <w:sz w:val="20"/>
                <w:szCs w:val="20"/>
                <w:lang w:val="en-GB" w:eastAsia="en-GB"/>
              </w:rPr>
              <w:t xml:space="preserve"> </w:t>
            </w:r>
            <w:r w:rsidRPr="00B477A2">
              <w:rPr>
                <w:rFonts w:ascii="Arial" w:eastAsia="Times New Roman" w:hAnsi="Arial" w:cs="Arial"/>
                <w:b/>
                <w:bCs/>
                <w:color w:val="000000"/>
                <w:sz w:val="20"/>
                <w:szCs w:val="20"/>
                <w:lang w:val="en-GB" w:eastAsia="en-GB"/>
              </w:rPr>
              <w:t>(S167 grades C, D or E)</w:t>
            </w:r>
          </w:p>
        </w:tc>
        <w:tc>
          <w:tcPr>
            <w:tcW w:w="284" w:type="dxa"/>
            <w:tcBorders>
              <w:top w:val="nil"/>
              <w:left w:val="nil"/>
              <w:bottom w:val="nil"/>
              <w:right w:val="nil"/>
            </w:tcBorders>
            <w:shd w:val="clear" w:color="FFFFCC" w:fill="FFFFFF"/>
            <w:noWrap/>
            <w:vAlign w:val="bottom"/>
            <w:hideMark/>
          </w:tcPr>
          <w:p w14:paraId="49CABFBF" w14:textId="77777777" w:rsidR="00204990" w:rsidRPr="00204990" w:rsidRDefault="00204990" w:rsidP="00C00560">
            <w:pPr>
              <w:keepNext/>
              <w:spacing w:after="0" w:line="240" w:lineRule="auto"/>
              <w:jc w:val="left"/>
              <w:rPr>
                <w:rFonts w:ascii="Arial" w:eastAsia="Times New Roman" w:hAnsi="Arial" w:cs="Arial"/>
                <w:b/>
                <w:bCs/>
                <w:color w:val="000000"/>
                <w:sz w:val="20"/>
                <w:szCs w:val="20"/>
                <w:lang w:val="en-GB" w:eastAsia="en-GB"/>
              </w:rPr>
            </w:pPr>
          </w:p>
        </w:tc>
      </w:tr>
    </w:tbl>
    <w:p w14:paraId="6F44BF95" w14:textId="5447F4D0" w:rsidR="00C00560" w:rsidRDefault="00C00560" w:rsidP="00335219">
      <w:pPr>
        <w:pStyle w:val="Caption"/>
      </w:pPr>
      <w:bookmarkStart w:id="49" w:name="_Toc488083829"/>
      <w:bookmarkStart w:id="50" w:name="_Toc512556859"/>
      <w:r>
        <w:t xml:space="preserve">Table </w:t>
      </w:r>
      <w:r w:rsidR="00005B77">
        <w:fldChar w:fldCharType="begin"/>
      </w:r>
      <w:r w:rsidR="00005B77">
        <w:instrText xml:space="preserve"> SEQ Table \* ARABIC </w:instrText>
      </w:r>
      <w:r w:rsidR="00005B77">
        <w:fldChar w:fldCharType="separate"/>
      </w:r>
      <w:r w:rsidR="0099156B">
        <w:rPr>
          <w:noProof/>
        </w:rPr>
        <w:t>2</w:t>
      </w:r>
      <w:r w:rsidR="00005B77">
        <w:fldChar w:fldCharType="end"/>
      </w:r>
      <w:r>
        <w:t xml:space="preserve"> – S167 intent</w:t>
      </w:r>
      <w:bookmarkEnd w:id="49"/>
      <w:bookmarkEnd w:id="50"/>
    </w:p>
    <w:p w14:paraId="2F50B7CB" w14:textId="65500DAD" w:rsidR="0027178F" w:rsidRDefault="0027178F" w:rsidP="0027178F">
      <w:pPr>
        <w:pStyle w:val="Heading2"/>
      </w:pPr>
      <w:bookmarkStart w:id="51" w:name="_Toc488088766"/>
      <w:bookmarkStart w:id="52" w:name="_Toc488093154"/>
      <w:bookmarkStart w:id="53" w:name="_Toc512556894"/>
      <w:r>
        <w:t>Analysis</w:t>
      </w:r>
      <w:bookmarkEnd w:id="51"/>
      <w:bookmarkEnd w:id="52"/>
      <w:bookmarkEnd w:id="53"/>
    </w:p>
    <w:p w14:paraId="46A7B2A6" w14:textId="7A603BDB" w:rsidR="0027178F" w:rsidRPr="0027178F" w:rsidRDefault="0027178F" w:rsidP="0027178F">
      <w:r>
        <w:t xml:space="preserve">I then undertook statistical analysis of the data collected </w:t>
      </w:r>
      <w:r w:rsidR="00B50333">
        <w:t>via Freedom of Information requests,</w:t>
      </w:r>
      <w:r>
        <w:t xml:space="preserve"> together with the data provided by the Department for Transport and by Transport Scotland, to identify common trends</w:t>
      </w:r>
      <w:r w:rsidR="00654E1F">
        <w:t xml:space="preserve"> and anomalies, and to produce statistics</w:t>
      </w:r>
      <w:r>
        <w:t>.</w:t>
      </w:r>
    </w:p>
    <w:p w14:paraId="2A7D6438" w14:textId="77777777" w:rsidR="009F174B" w:rsidRDefault="009F174B" w:rsidP="009F174B">
      <w:r>
        <w:br w:type="page"/>
      </w:r>
    </w:p>
    <w:p w14:paraId="277A90FC" w14:textId="77777777" w:rsidR="00204990" w:rsidRDefault="009F174B" w:rsidP="009F174B">
      <w:pPr>
        <w:pStyle w:val="Heading1"/>
      </w:pPr>
      <w:bookmarkStart w:id="54" w:name="_Toc488088767"/>
      <w:bookmarkStart w:id="55" w:name="_Toc488093155"/>
      <w:bookmarkStart w:id="56" w:name="_Toc512556895"/>
      <w:r>
        <w:lastRenderedPageBreak/>
        <w:t>Results</w:t>
      </w:r>
      <w:bookmarkEnd w:id="54"/>
      <w:bookmarkEnd w:id="55"/>
      <w:bookmarkEnd w:id="56"/>
    </w:p>
    <w:p w14:paraId="2418E8D1" w14:textId="77777777" w:rsidR="00386E1A" w:rsidRPr="00386E1A" w:rsidRDefault="00386E1A" w:rsidP="00386E1A">
      <w:pPr>
        <w:pStyle w:val="Heading2"/>
        <w:numPr>
          <w:ilvl w:val="0"/>
          <w:numId w:val="25"/>
        </w:numPr>
      </w:pPr>
      <w:bookmarkStart w:id="57" w:name="_Toc488088768"/>
      <w:bookmarkStart w:id="58" w:name="_Toc488093156"/>
      <w:bookmarkStart w:id="59" w:name="_Toc512556896"/>
      <w:r>
        <w:t>Accompanying spreadsheet</w:t>
      </w:r>
      <w:bookmarkEnd w:id="57"/>
      <w:bookmarkEnd w:id="58"/>
      <w:bookmarkEnd w:id="59"/>
    </w:p>
    <w:p w14:paraId="6AA86886" w14:textId="2004C28F" w:rsidR="00386E1A" w:rsidRDefault="00386E1A" w:rsidP="009F174B">
      <w:r>
        <w:t xml:space="preserve">The </w:t>
      </w:r>
      <w:r w:rsidR="00637693">
        <w:t>data tables</w:t>
      </w:r>
      <w:r>
        <w:t xml:space="preserve">, statistical analysis, charts and maps are available in the </w:t>
      </w:r>
      <w:hyperlink r:id="rId13" w:history="1">
        <w:r w:rsidRPr="00386E1A">
          <w:rPr>
            <w:rStyle w:val="Hyperlink"/>
          </w:rPr>
          <w:t>accompanying spreadsheet</w:t>
        </w:r>
      </w:hyperlink>
      <w:r>
        <w:rPr>
          <w:rStyle w:val="EndnoteReference"/>
        </w:rPr>
        <w:endnoteReference w:id="5"/>
      </w:r>
      <w:r>
        <w:t>.</w:t>
      </w:r>
      <w:r w:rsidR="00372650">
        <w:t xml:space="preserve"> This spreadsheet contains data and analysis from my original research report, together with </w:t>
      </w:r>
      <w:r w:rsidR="00654E1F">
        <w:t xml:space="preserve">that used in </w:t>
      </w:r>
      <w:r w:rsidR="00372650">
        <w:t>this update.</w:t>
      </w:r>
    </w:p>
    <w:p w14:paraId="07891A2B" w14:textId="77777777" w:rsidR="00386E1A" w:rsidRDefault="00386E1A" w:rsidP="009F174B">
      <w:r>
        <w:t xml:space="preserve">As the remaining data comes in, I shall update the </w:t>
      </w:r>
      <w:r w:rsidR="00D97805">
        <w:t xml:space="preserve">accompanying </w:t>
      </w:r>
      <w:r>
        <w:t>spreadsheet</w:t>
      </w:r>
      <w:r w:rsidR="00D97805">
        <w:t>,</w:t>
      </w:r>
      <w:r>
        <w:t xml:space="preserve"> but not this report. For the full </w:t>
      </w:r>
      <w:r w:rsidR="004B44D4">
        <w:t xml:space="preserve">and up to date </w:t>
      </w:r>
      <w:r>
        <w:t>results</w:t>
      </w:r>
      <w:r w:rsidR="004B44D4">
        <w:t>, data and calculations</w:t>
      </w:r>
      <w:r>
        <w:t>, please examine the spreadsheet.</w:t>
      </w:r>
    </w:p>
    <w:p w14:paraId="31BDA004" w14:textId="77777777" w:rsidR="00386E1A" w:rsidRDefault="00386E1A" w:rsidP="00386E1A">
      <w:pPr>
        <w:pStyle w:val="Heading2"/>
      </w:pPr>
      <w:bookmarkStart w:id="60" w:name="_Toc488088769"/>
      <w:bookmarkStart w:id="61" w:name="_Toc488093157"/>
      <w:bookmarkStart w:id="62" w:name="_Toc512556897"/>
      <w:r>
        <w:t>S167 intent</w:t>
      </w:r>
      <w:bookmarkEnd w:id="60"/>
      <w:bookmarkEnd w:id="61"/>
      <w:bookmarkEnd w:id="62"/>
    </w:p>
    <w:p w14:paraId="52B07C5D" w14:textId="77777777" w:rsidR="00386E1A" w:rsidRDefault="00386E1A" w:rsidP="00386E1A">
      <w:pPr>
        <w:pStyle w:val="Heading3"/>
      </w:pPr>
      <w:bookmarkStart w:id="63" w:name="_Toc488088770"/>
      <w:bookmarkStart w:id="64" w:name="_Toc488093158"/>
      <w:bookmarkStart w:id="65" w:name="_Toc512556898"/>
      <w:r>
        <w:t>Overall</w:t>
      </w:r>
      <w:bookmarkEnd w:id="63"/>
      <w:bookmarkEnd w:id="64"/>
      <w:bookmarkEnd w:id="65"/>
      <w:r>
        <w:t xml:space="preserve"> </w:t>
      </w:r>
    </w:p>
    <w:p w14:paraId="2F6B47CD" w14:textId="77777777" w:rsidR="00372650" w:rsidRDefault="00372650" w:rsidP="00C00560">
      <w:pPr>
        <w:keepNext/>
        <w:jc w:val="center"/>
        <w:rPr>
          <w:noProof/>
        </w:rPr>
      </w:pPr>
      <w:r>
        <w:rPr>
          <w:noProof/>
        </w:rPr>
        <w:drawing>
          <wp:inline distT="0" distB="0" distL="0" distR="0" wp14:anchorId="05D30FA0" wp14:editId="219A725F">
            <wp:extent cx="5553075" cy="4933950"/>
            <wp:effectExtent l="57150" t="57150" r="161925" b="190500"/>
            <wp:docPr id="1" name="Chart 1">
              <a:extLst xmlns:a="http://schemas.openxmlformats.org/drawingml/2006/main">
                <a:ext uri="{FF2B5EF4-FFF2-40B4-BE49-F238E27FC236}">
                  <a16:creationId xmlns:a16="http://schemas.microsoft.com/office/drawing/2014/main" id="{1347BED4-68AE-4237-9F27-4ED2C72E146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r w:rsidRPr="00372650">
        <w:rPr>
          <w:noProof/>
        </w:rPr>
        <w:t xml:space="preserve"> </w:t>
      </w:r>
    </w:p>
    <w:p w14:paraId="579FDD7E" w14:textId="63273FB1" w:rsidR="007B7645" w:rsidRDefault="00C00560" w:rsidP="00335219">
      <w:pPr>
        <w:pStyle w:val="Caption"/>
        <w:sectPr w:rsidR="007B7645" w:rsidSect="0080636E">
          <w:headerReference w:type="first" r:id="rId15"/>
          <w:footerReference w:type="first" r:id="rId16"/>
          <w:footnotePr>
            <w:pos w:val="beneathText"/>
          </w:footnotePr>
          <w:pgSz w:w="11907" w:h="16840" w:code="9"/>
          <w:pgMar w:top="1440" w:right="1440" w:bottom="1440" w:left="1440" w:header="720" w:footer="504" w:gutter="0"/>
          <w:pgNumType w:start="1"/>
          <w:cols w:space="720"/>
          <w:noEndnote/>
          <w:titlePg/>
          <w:docGrid w:linePitch="360"/>
        </w:sectPr>
      </w:pPr>
      <w:bookmarkStart w:id="66" w:name="_Toc488087940"/>
      <w:bookmarkStart w:id="67" w:name="_Toc488087986"/>
      <w:bookmarkStart w:id="68" w:name="_Toc512556850"/>
      <w:r>
        <w:t xml:space="preserve">Figure </w:t>
      </w:r>
      <w:r>
        <w:fldChar w:fldCharType="begin"/>
      </w:r>
      <w:r>
        <w:instrText xml:space="preserve"> SEQ Figure \* ARABIC </w:instrText>
      </w:r>
      <w:r>
        <w:fldChar w:fldCharType="separate"/>
      </w:r>
      <w:r w:rsidR="0099156B">
        <w:rPr>
          <w:noProof/>
        </w:rPr>
        <w:t>1</w:t>
      </w:r>
      <w:r>
        <w:fldChar w:fldCharType="end"/>
      </w:r>
      <w:r>
        <w:t xml:space="preserve"> –GB S167 intent</w:t>
      </w:r>
      <w:bookmarkEnd w:id="66"/>
      <w:bookmarkEnd w:id="67"/>
      <w:bookmarkEnd w:id="68"/>
      <w:r>
        <w:t xml:space="preserve"> </w:t>
      </w:r>
    </w:p>
    <w:p w14:paraId="35962153" w14:textId="77777777" w:rsidR="00C00560" w:rsidRDefault="00426DCE" w:rsidP="00C00560">
      <w:pPr>
        <w:keepNext/>
        <w:spacing w:after="0" w:line="240" w:lineRule="auto"/>
        <w:jc w:val="center"/>
      </w:pPr>
      <w:r>
        <w:rPr>
          <w:noProof/>
        </w:rPr>
        <w:lastRenderedPageBreak/>
        <w:drawing>
          <wp:inline distT="0" distB="0" distL="0" distR="0" wp14:anchorId="17055460" wp14:editId="0B622123">
            <wp:extent cx="6632234" cy="9391650"/>
            <wp:effectExtent l="114300" t="114300" r="207010" b="209550"/>
            <wp:docPr id="15" name="Picture 14">
              <a:extLst xmlns:a="http://schemas.openxmlformats.org/drawingml/2006/main">
                <a:ext uri="{FF2B5EF4-FFF2-40B4-BE49-F238E27FC236}">
                  <a16:creationId xmlns:a16="http://schemas.microsoft.com/office/drawing/2014/main" id="{CFBA5055-650C-497D-81FB-B5FE616E0EF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a:extLst>
                        <a:ext uri="{FF2B5EF4-FFF2-40B4-BE49-F238E27FC236}">
                          <a16:creationId xmlns:a16="http://schemas.microsoft.com/office/drawing/2014/main" id="{CFBA5055-650C-497D-81FB-B5FE616E0EFA}"/>
                        </a:ext>
                      </a:extLst>
                    </pic:cNvPr>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6645720" cy="9410746"/>
                    </a:xfrm>
                    <a:prstGeom prst="rect">
                      <a:avLst/>
                    </a:prstGeom>
                    <a:ln w="88900" cap="sq" cmpd="thickThin">
                      <a:solidFill>
                        <a:srgbClr val="000000"/>
                      </a:solidFill>
                      <a:prstDash val="solid"/>
                      <a:miter lim="800000"/>
                    </a:ln>
                    <a:effectLst>
                      <a:outerShdw blurRad="50800" dist="63500" dir="2700000" algn="tl" rotWithShape="0">
                        <a:prstClr val="black">
                          <a:alpha val="40000"/>
                        </a:prstClr>
                      </a:outerShdw>
                    </a:effectLst>
                  </pic:spPr>
                </pic:pic>
              </a:graphicData>
            </a:graphic>
          </wp:inline>
        </w:drawing>
      </w:r>
    </w:p>
    <w:p w14:paraId="2B00FF38" w14:textId="78E0801A" w:rsidR="007B7645" w:rsidRDefault="00C00560" w:rsidP="00335219">
      <w:pPr>
        <w:pStyle w:val="Caption"/>
        <w:sectPr w:rsidR="007B7645" w:rsidSect="0080636E">
          <w:headerReference w:type="first" r:id="rId17"/>
          <w:footerReference w:type="first" r:id="rId18"/>
          <w:footnotePr>
            <w:pos w:val="beneathText"/>
          </w:footnotePr>
          <w:pgSz w:w="11907" w:h="16840" w:code="9"/>
          <w:pgMar w:top="567" w:right="425" w:bottom="567" w:left="425" w:header="284" w:footer="0" w:gutter="0"/>
          <w:cols w:space="720"/>
          <w:noEndnote/>
          <w:titlePg/>
          <w:docGrid w:linePitch="360"/>
        </w:sectPr>
      </w:pPr>
      <w:bookmarkStart w:id="69" w:name="_Toc512556844"/>
      <w:r>
        <w:t xml:space="preserve">Map  </w:t>
      </w:r>
      <w:r>
        <w:fldChar w:fldCharType="begin"/>
      </w:r>
      <w:r>
        <w:instrText xml:space="preserve"> SEQ Map_ \* ARABIC </w:instrText>
      </w:r>
      <w:r>
        <w:fldChar w:fldCharType="separate"/>
      </w:r>
      <w:r w:rsidR="0099156B">
        <w:rPr>
          <w:noProof/>
        </w:rPr>
        <w:t>1</w:t>
      </w:r>
      <w:r>
        <w:fldChar w:fldCharType="end"/>
      </w:r>
      <w:r>
        <w:t xml:space="preserve"> </w:t>
      </w:r>
      <w:r w:rsidR="000573F2">
        <w:t>–</w:t>
      </w:r>
      <w:r>
        <w:t xml:space="preserve"> S167 intent</w:t>
      </w:r>
      <w:bookmarkEnd w:id="69"/>
    </w:p>
    <w:tbl>
      <w:tblPr>
        <w:tblW w:w="5949" w:type="dxa"/>
        <w:jc w:val="center"/>
        <w:tblCellMar>
          <w:top w:w="15" w:type="dxa"/>
          <w:bottom w:w="15" w:type="dxa"/>
        </w:tblCellMar>
        <w:tblLook w:val="04A0" w:firstRow="1" w:lastRow="0" w:firstColumn="1" w:lastColumn="0" w:noHBand="0" w:noVBand="1"/>
      </w:tblPr>
      <w:tblGrid>
        <w:gridCol w:w="2122"/>
        <w:gridCol w:w="1984"/>
        <w:gridCol w:w="1843"/>
      </w:tblGrid>
      <w:tr w:rsidR="004A7F80" w:rsidRPr="00085BF8" w14:paraId="0FA3B518" w14:textId="24C1E888" w:rsidTr="004A7F80">
        <w:trPr>
          <w:trHeight w:val="255"/>
          <w:jc w:val="center"/>
        </w:trPr>
        <w:tc>
          <w:tcPr>
            <w:tcW w:w="2122" w:type="dxa"/>
            <w:tcBorders>
              <w:top w:val="single" w:sz="4" w:space="0" w:color="auto"/>
              <w:left w:val="single" w:sz="4" w:space="0" w:color="auto"/>
              <w:bottom w:val="single" w:sz="8" w:space="0" w:color="A5A5A5"/>
              <w:right w:val="single" w:sz="4" w:space="0" w:color="A5A5A5"/>
            </w:tcBorders>
            <w:shd w:val="clear" w:color="FFFFCC" w:fill="FFFFFF"/>
            <w:noWrap/>
            <w:vAlign w:val="bottom"/>
            <w:hideMark/>
          </w:tcPr>
          <w:p w14:paraId="585E4D04" w14:textId="77777777" w:rsidR="004A7F80" w:rsidRPr="00085BF8" w:rsidRDefault="004A7F80" w:rsidP="0024546A">
            <w:pPr>
              <w:spacing w:after="0" w:line="240" w:lineRule="auto"/>
              <w:jc w:val="center"/>
              <w:rPr>
                <w:rFonts w:ascii="Arial" w:eastAsia="Times New Roman" w:hAnsi="Arial" w:cs="Arial"/>
                <w:b/>
                <w:bCs/>
                <w:color w:val="000000"/>
                <w:sz w:val="20"/>
                <w:szCs w:val="20"/>
                <w:lang w:val="en-GB" w:eastAsia="en-GB"/>
              </w:rPr>
            </w:pPr>
            <w:r w:rsidRPr="00085BF8">
              <w:rPr>
                <w:rFonts w:ascii="Arial" w:eastAsia="Times New Roman" w:hAnsi="Arial" w:cs="Arial"/>
                <w:b/>
                <w:bCs/>
                <w:color w:val="000000"/>
                <w:sz w:val="20"/>
                <w:szCs w:val="20"/>
                <w:lang w:val="en-GB" w:eastAsia="en-GB"/>
              </w:rPr>
              <w:lastRenderedPageBreak/>
              <w:t>S167 intent</w:t>
            </w:r>
          </w:p>
        </w:tc>
        <w:tc>
          <w:tcPr>
            <w:tcW w:w="1984" w:type="dxa"/>
            <w:tcBorders>
              <w:top w:val="single" w:sz="4" w:space="0" w:color="auto"/>
              <w:left w:val="nil"/>
              <w:bottom w:val="single" w:sz="8" w:space="0" w:color="A5A5A5"/>
              <w:right w:val="nil"/>
            </w:tcBorders>
            <w:shd w:val="clear" w:color="FFFFCC" w:fill="FFFFFF"/>
            <w:noWrap/>
            <w:vAlign w:val="bottom"/>
            <w:hideMark/>
          </w:tcPr>
          <w:p w14:paraId="34BD6C12" w14:textId="77777777" w:rsidR="004A7F80" w:rsidRPr="00085BF8" w:rsidRDefault="004A7F80" w:rsidP="0024546A">
            <w:pPr>
              <w:spacing w:after="0" w:line="240" w:lineRule="auto"/>
              <w:jc w:val="center"/>
              <w:rPr>
                <w:rFonts w:ascii="Arial" w:eastAsia="Times New Roman" w:hAnsi="Arial" w:cs="Arial"/>
                <w:b/>
                <w:bCs/>
                <w:color w:val="000000"/>
                <w:sz w:val="20"/>
                <w:szCs w:val="20"/>
                <w:lang w:val="en-GB" w:eastAsia="en-GB"/>
              </w:rPr>
            </w:pPr>
            <w:r w:rsidRPr="00085BF8">
              <w:rPr>
                <w:rFonts w:ascii="Arial" w:eastAsia="Times New Roman" w:hAnsi="Arial" w:cs="Arial"/>
                <w:b/>
                <w:bCs/>
                <w:color w:val="000000"/>
                <w:sz w:val="20"/>
                <w:szCs w:val="20"/>
                <w:lang w:val="en-GB" w:eastAsia="en-GB"/>
              </w:rPr>
              <w:t># Authorities</w:t>
            </w:r>
          </w:p>
        </w:tc>
        <w:tc>
          <w:tcPr>
            <w:tcW w:w="1843" w:type="dxa"/>
            <w:tcBorders>
              <w:top w:val="single" w:sz="4" w:space="0" w:color="auto"/>
              <w:left w:val="nil"/>
              <w:bottom w:val="single" w:sz="8" w:space="0" w:color="A5A5A5"/>
              <w:right w:val="single" w:sz="4" w:space="0" w:color="auto"/>
            </w:tcBorders>
            <w:shd w:val="clear" w:color="FFFFCC" w:fill="FFFFFF"/>
            <w:noWrap/>
            <w:vAlign w:val="bottom"/>
            <w:hideMark/>
          </w:tcPr>
          <w:p w14:paraId="61E7AB4E" w14:textId="77777777" w:rsidR="004A7F80" w:rsidRPr="00085BF8" w:rsidRDefault="004A7F80" w:rsidP="0024546A">
            <w:pPr>
              <w:spacing w:after="0" w:line="240" w:lineRule="auto"/>
              <w:jc w:val="center"/>
              <w:rPr>
                <w:rFonts w:ascii="Arial" w:eastAsia="Times New Roman" w:hAnsi="Arial" w:cs="Arial"/>
                <w:b/>
                <w:bCs/>
                <w:color w:val="000000"/>
                <w:sz w:val="20"/>
                <w:szCs w:val="20"/>
                <w:lang w:val="en-GB" w:eastAsia="en-GB"/>
              </w:rPr>
            </w:pPr>
            <w:r w:rsidRPr="00085BF8">
              <w:rPr>
                <w:rFonts w:ascii="Arial" w:eastAsia="Times New Roman" w:hAnsi="Arial" w:cs="Arial"/>
                <w:b/>
                <w:bCs/>
                <w:color w:val="000000"/>
                <w:sz w:val="20"/>
                <w:szCs w:val="20"/>
                <w:lang w:val="en-GB" w:eastAsia="en-GB"/>
              </w:rPr>
              <w:t>% Authorities</w:t>
            </w:r>
          </w:p>
        </w:tc>
      </w:tr>
      <w:tr w:rsidR="004A7F80" w:rsidRPr="00085BF8" w14:paraId="50084B1B" w14:textId="7D10CBFE" w:rsidTr="004A7F80">
        <w:trPr>
          <w:trHeight w:val="255"/>
          <w:jc w:val="center"/>
        </w:trPr>
        <w:tc>
          <w:tcPr>
            <w:tcW w:w="2122" w:type="dxa"/>
            <w:tcBorders>
              <w:top w:val="single" w:sz="4" w:space="0" w:color="EDEDED"/>
              <w:left w:val="single" w:sz="4" w:space="0" w:color="auto"/>
              <w:bottom w:val="single" w:sz="4" w:space="0" w:color="EDEDED"/>
              <w:right w:val="single" w:sz="4" w:space="0" w:color="A5A5A5"/>
            </w:tcBorders>
            <w:shd w:val="clear" w:color="FFFFCC" w:fill="99BD66"/>
            <w:noWrap/>
            <w:vAlign w:val="bottom"/>
            <w:hideMark/>
          </w:tcPr>
          <w:p w14:paraId="16670076" w14:textId="77777777" w:rsidR="004A7F80" w:rsidRPr="00085BF8" w:rsidRDefault="004A7F80" w:rsidP="0024546A">
            <w:pPr>
              <w:spacing w:after="0" w:line="240" w:lineRule="auto"/>
              <w:jc w:val="center"/>
              <w:rPr>
                <w:rFonts w:ascii="Arial" w:eastAsia="Times New Roman" w:hAnsi="Arial" w:cs="Arial"/>
                <w:b/>
                <w:bCs/>
                <w:color w:val="000000"/>
                <w:sz w:val="20"/>
                <w:szCs w:val="20"/>
                <w:lang w:val="en-GB" w:eastAsia="en-GB"/>
              </w:rPr>
            </w:pPr>
            <w:r w:rsidRPr="00085BF8">
              <w:rPr>
                <w:rFonts w:ascii="Arial" w:eastAsia="Times New Roman" w:hAnsi="Arial" w:cs="Arial"/>
                <w:b/>
                <w:bCs/>
                <w:color w:val="000000"/>
                <w:sz w:val="20"/>
                <w:szCs w:val="20"/>
                <w:lang w:val="en-GB" w:eastAsia="en-GB"/>
              </w:rPr>
              <w:t>Yes</w:t>
            </w:r>
          </w:p>
        </w:tc>
        <w:tc>
          <w:tcPr>
            <w:tcW w:w="1984" w:type="dxa"/>
            <w:tcBorders>
              <w:top w:val="single" w:sz="4" w:space="0" w:color="EDEDED"/>
              <w:left w:val="nil"/>
              <w:bottom w:val="single" w:sz="4" w:space="0" w:color="EDEDED"/>
              <w:right w:val="nil"/>
            </w:tcBorders>
            <w:shd w:val="clear" w:color="FFFFCC" w:fill="FFFFFF"/>
            <w:noWrap/>
            <w:hideMark/>
          </w:tcPr>
          <w:p w14:paraId="08895ED3" w14:textId="78D910EC" w:rsidR="004A7F80" w:rsidRPr="00085BF8" w:rsidRDefault="004A7F80" w:rsidP="0024546A">
            <w:pPr>
              <w:spacing w:after="0" w:line="240" w:lineRule="auto"/>
              <w:jc w:val="center"/>
              <w:rPr>
                <w:rFonts w:ascii="Arial" w:eastAsia="Times New Roman" w:hAnsi="Arial" w:cs="Arial"/>
                <w:b/>
                <w:bCs/>
                <w:color w:val="7B7B7B"/>
                <w:sz w:val="20"/>
                <w:szCs w:val="20"/>
                <w:lang w:val="en-GB" w:eastAsia="en-GB"/>
              </w:rPr>
            </w:pPr>
            <w:r w:rsidRPr="005B391D">
              <w:t>173</w:t>
            </w:r>
          </w:p>
        </w:tc>
        <w:tc>
          <w:tcPr>
            <w:tcW w:w="1843" w:type="dxa"/>
            <w:tcBorders>
              <w:top w:val="single" w:sz="4" w:space="0" w:color="EDEDED"/>
              <w:left w:val="nil"/>
              <w:bottom w:val="single" w:sz="4" w:space="0" w:color="EDEDED"/>
              <w:right w:val="single" w:sz="4" w:space="0" w:color="auto"/>
            </w:tcBorders>
            <w:shd w:val="clear" w:color="FFFFCC" w:fill="FFFFFF"/>
            <w:noWrap/>
            <w:hideMark/>
          </w:tcPr>
          <w:p w14:paraId="190781B9" w14:textId="39EE430B" w:rsidR="004A7F80" w:rsidRPr="00085BF8" w:rsidRDefault="004A7F80" w:rsidP="0024546A">
            <w:pPr>
              <w:spacing w:after="0" w:line="240" w:lineRule="auto"/>
              <w:jc w:val="center"/>
              <w:rPr>
                <w:rFonts w:ascii="Arial" w:eastAsia="Times New Roman" w:hAnsi="Arial" w:cs="Arial"/>
                <w:b/>
                <w:bCs/>
                <w:color w:val="7B7B7B"/>
                <w:sz w:val="20"/>
                <w:szCs w:val="20"/>
                <w:lang w:val="en-GB" w:eastAsia="en-GB"/>
              </w:rPr>
            </w:pPr>
            <w:r w:rsidRPr="005B391D">
              <w:t>51%</w:t>
            </w:r>
          </w:p>
        </w:tc>
      </w:tr>
      <w:tr w:rsidR="004A7F80" w:rsidRPr="00085BF8" w14:paraId="400DDB95" w14:textId="1D6DD4D4" w:rsidTr="004A7F80">
        <w:trPr>
          <w:trHeight w:val="255"/>
          <w:jc w:val="center"/>
        </w:trPr>
        <w:tc>
          <w:tcPr>
            <w:tcW w:w="2122" w:type="dxa"/>
            <w:tcBorders>
              <w:top w:val="single" w:sz="4" w:space="0" w:color="EDEDED"/>
              <w:left w:val="single" w:sz="4" w:space="0" w:color="auto"/>
              <w:bottom w:val="single" w:sz="4" w:space="0" w:color="auto"/>
              <w:right w:val="single" w:sz="4" w:space="0" w:color="A5A5A5"/>
            </w:tcBorders>
            <w:shd w:val="clear" w:color="FFFFCC" w:fill="FF7D67"/>
            <w:noWrap/>
            <w:vAlign w:val="bottom"/>
            <w:hideMark/>
          </w:tcPr>
          <w:p w14:paraId="69362DC9" w14:textId="77777777" w:rsidR="004A7F80" w:rsidRPr="00085BF8" w:rsidRDefault="004A7F80" w:rsidP="0024546A">
            <w:pPr>
              <w:spacing w:after="0" w:line="240" w:lineRule="auto"/>
              <w:jc w:val="center"/>
              <w:rPr>
                <w:rFonts w:ascii="Arial" w:eastAsia="Times New Roman" w:hAnsi="Arial" w:cs="Arial"/>
                <w:b/>
                <w:bCs/>
                <w:color w:val="000000"/>
                <w:sz w:val="20"/>
                <w:szCs w:val="20"/>
                <w:lang w:val="en-GB" w:eastAsia="en-GB"/>
              </w:rPr>
            </w:pPr>
            <w:r w:rsidRPr="00085BF8">
              <w:rPr>
                <w:rFonts w:ascii="Arial" w:eastAsia="Times New Roman" w:hAnsi="Arial" w:cs="Arial"/>
                <w:b/>
                <w:bCs/>
                <w:color w:val="000000"/>
                <w:sz w:val="20"/>
                <w:szCs w:val="20"/>
                <w:lang w:val="en-GB" w:eastAsia="en-GB"/>
              </w:rPr>
              <w:t>No</w:t>
            </w:r>
          </w:p>
        </w:tc>
        <w:tc>
          <w:tcPr>
            <w:tcW w:w="1984" w:type="dxa"/>
            <w:tcBorders>
              <w:top w:val="single" w:sz="4" w:space="0" w:color="EDEDED"/>
              <w:left w:val="nil"/>
              <w:bottom w:val="single" w:sz="4" w:space="0" w:color="auto"/>
              <w:right w:val="nil"/>
            </w:tcBorders>
            <w:shd w:val="clear" w:color="FFFFCC" w:fill="FFFFFF"/>
            <w:noWrap/>
            <w:hideMark/>
          </w:tcPr>
          <w:p w14:paraId="5E877632" w14:textId="25AB4FBD" w:rsidR="004A7F80" w:rsidRPr="00085BF8" w:rsidRDefault="004A7F80" w:rsidP="0024546A">
            <w:pPr>
              <w:spacing w:after="0" w:line="240" w:lineRule="auto"/>
              <w:jc w:val="center"/>
              <w:rPr>
                <w:rFonts w:ascii="Arial" w:eastAsia="Times New Roman" w:hAnsi="Arial" w:cs="Arial"/>
                <w:b/>
                <w:bCs/>
                <w:color w:val="7B7B7B"/>
                <w:sz w:val="20"/>
                <w:szCs w:val="20"/>
                <w:lang w:val="en-GB" w:eastAsia="en-GB"/>
              </w:rPr>
            </w:pPr>
            <w:r w:rsidRPr="005B391D">
              <w:t>16</w:t>
            </w:r>
            <w:r w:rsidR="00000B06">
              <w:t>9</w:t>
            </w:r>
          </w:p>
        </w:tc>
        <w:tc>
          <w:tcPr>
            <w:tcW w:w="1843" w:type="dxa"/>
            <w:tcBorders>
              <w:top w:val="single" w:sz="4" w:space="0" w:color="EDEDED"/>
              <w:left w:val="nil"/>
              <w:bottom w:val="single" w:sz="4" w:space="0" w:color="auto"/>
              <w:right w:val="single" w:sz="4" w:space="0" w:color="auto"/>
            </w:tcBorders>
            <w:shd w:val="clear" w:color="FFFFCC" w:fill="FFFFFF"/>
            <w:noWrap/>
            <w:hideMark/>
          </w:tcPr>
          <w:p w14:paraId="0DCE57E0" w14:textId="71CFAB82" w:rsidR="004A7F80" w:rsidRPr="00085BF8" w:rsidRDefault="004A7F80" w:rsidP="0024546A">
            <w:pPr>
              <w:keepNext/>
              <w:spacing w:after="0" w:line="240" w:lineRule="auto"/>
              <w:jc w:val="center"/>
              <w:rPr>
                <w:rFonts w:ascii="Arial" w:eastAsia="Times New Roman" w:hAnsi="Arial" w:cs="Arial"/>
                <w:b/>
                <w:bCs/>
                <w:color w:val="7B7B7B"/>
                <w:sz w:val="20"/>
                <w:szCs w:val="20"/>
                <w:lang w:val="en-GB" w:eastAsia="en-GB"/>
              </w:rPr>
            </w:pPr>
            <w:r w:rsidRPr="005B391D">
              <w:t>49%</w:t>
            </w:r>
          </w:p>
        </w:tc>
      </w:tr>
    </w:tbl>
    <w:p w14:paraId="6EADA73C" w14:textId="0764BE07" w:rsidR="00085BF8" w:rsidRDefault="0024546A" w:rsidP="00335219">
      <w:pPr>
        <w:pStyle w:val="Caption"/>
      </w:pPr>
      <w:bookmarkStart w:id="70" w:name="_Toc512556860"/>
      <w:r>
        <w:t xml:space="preserve">Table </w:t>
      </w:r>
      <w:r w:rsidR="00005B77">
        <w:fldChar w:fldCharType="begin"/>
      </w:r>
      <w:r w:rsidR="00005B77">
        <w:instrText xml:space="preserve"> SEQ Table \* ARABIC </w:instrText>
      </w:r>
      <w:r w:rsidR="00005B77">
        <w:fldChar w:fldCharType="separate"/>
      </w:r>
      <w:r w:rsidR="0099156B">
        <w:rPr>
          <w:noProof/>
        </w:rPr>
        <w:t>3</w:t>
      </w:r>
      <w:r w:rsidR="00005B77">
        <w:fldChar w:fldCharType="end"/>
      </w:r>
      <w:r w:rsidR="00027D8F">
        <w:t xml:space="preserve"> </w:t>
      </w:r>
      <w:r w:rsidR="000573F2">
        <w:t>–</w:t>
      </w:r>
      <w:r w:rsidR="00027D8F">
        <w:t xml:space="preserve"> GB S167 Intent</w:t>
      </w:r>
      <w:bookmarkEnd w:id="70"/>
    </w:p>
    <w:tbl>
      <w:tblPr>
        <w:tblW w:w="7655" w:type="dxa"/>
        <w:tblCellMar>
          <w:top w:w="15" w:type="dxa"/>
          <w:bottom w:w="15" w:type="dxa"/>
        </w:tblCellMar>
        <w:tblLook w:val="04A0" w:firstRow="1" w:lastRow="0" w:firstColumn="1" w:lastColumn="0" w:noHBand="0" w:noVBand="1"/>
      </w:tblPr>
      <w:tblGrid>
        <w:gridCol w:w="1420"/>
        <w:gridCol w:w="6235"/>
      </w:tblGrid>
      <w:tr w:rsidR="00085BF8" w:rsidRPr="00085BF8" w14:paraId="5F28D1A4" w14:textId="77777777" w:rsidTr="00085BF8">
        <w:trPr>
          <w:trHeight w:val="255"/>
        </w:trPr>
        <w:tc>
          <w:tcPr>
            <w:tcW w:w="1420" w:type="dxa"/>
            <w:tcBorders>
              <w:top w:val="nil"/>
              <w:left w:val="nil"/>
              <w:bottom w:val="nil"/>
              <w:right w:val="nil"/>
            </w:tcBorders>
            <w:shd w:val="clear" w:color="FFFFCC" w:fill="99BD66"/>
            <w:noWrap/>
            <w:vAlign w:val="bottom"/>
            <w:hideMark/>
          </w:tcPr>
          <w:p w14:paraId="16F5AD46" w14:textId="77777777" w:rsidR="00085BF8" w:rsidRPr="00085BF8" w:rsidRDefault="00085BF8" w:rsidP="00085BF8">
            <w:pPr>
              <w:spacing w:after="0" w:line="240" w:lineRule="auto"/>
              <w:jc w:val="center"/>
              <w:rPr>
                <w:rFonts w:ascii="Arial" w:eastAsia="Times New Roman" w:hAnsi="Arial" w:cs="Arial"/>
                <w:b/>
                <w:bCs/>
                <w:color w:val="000000"/>
                <w:sz w:val="20"/>
                <w:szCs w:val="20"/>
                <w:lang w:val="en-GB" w:eastAsia="en-GB"/>
              </w:rPr>
            </w:pPr>
            <w:r w:rsidRPr="00085BF8">
              <w:rPr>
                <w:rFonts w:ascii="Arial" w:eastAsia="Times New Roman" w:hAnsi="Arial" w:cs="Arial"/>
                <w:b/>
                <w:bCs/>
                <w:color w:val="000000"/>
                <w:sz w:val="20"/>
                <w:szCs w:val="20"/>
                <w:lang w:val="en-GB" w:eastAsia="en-GB"/>
              </w:rPr>
              <w:t>Yes</w:t>
            </w:r>
          </w:p>
        </w:tc>
        <w:tc>
          <w:tcPr>
            <w:tcW w:w="6235" w:type="dxa"/>
            <w:tcBorders>
              <w:top w:val="nil"/>
              <w:left w:val="nil"/>
              <w:bottom w:val="nil"/>
              <w:right w:val="nil"/>
            </w:tcBorders>
            <w:shd w:val="clear" w:color="FFFFCC" w:fill="FFFFFF"/>
            <w:noWrap/>
            <w:vAlign w:val="bottom"/>
            <w:hideMark/>
          </w:tcPr>
          <w:p w14:paraId="6A050F4C" w14:textId="77777777" w:rsidR="00085BF8" w:rsidRPr="00085BF8" w:rsidRDefault="00085BF8" w:rsidP="00085BF8">
            <w:pPr>
              <w:spacing w:after="0" w:line="240" w:lineRule="auto"/>
              <w:jc w:val="left"/>
              <w:rPr>
                <w:rFonts w:ascii="Arial" w:eastAsia="Times New Roman" w:hAnsi="Arial" w:cs="Arial"/>
                <w:b/>
                <w:bCs/>
                <w:color w:val="000000"/>
                <w:sz w:val="20"/>
                <w:szCs w:val="20"/>
                <w:lang w:val="en-GB" w:eastAsia="en-GB"/>
              </w:rPr>
            </w:pPr>
            <w:r w:rsidRPr="00085BF8">
              <w:rPr>
                <w:rFonts w:ascii="Arial" w:eastAsia="Times New Roman" w:hAnsi="Arial" w:cs="Arial"/>
                <w:b/>
                <w:bCs/>
                <w:color w:val="000000"/>
                <w:sz w:val="20"/>
                <w:szCs w:val="20"/>
                <w:lang w:val="en-GB" w:eastAsia="en-GB"/>
              </w:rPr>
              <w:t>have a S167 list or intend one within this financial year</w:t>
            </w:r>
          </w:p>
        </w:tc>
      </w:tr>
      <w:tr w:rsidR="00085BF8" w:rsidRPr="00085BF8" w14:paraId="03AA4FAD" w14:textId="77777777" w:rsidTr="00085BF8">
        <w:trPr>
          <w:trHeight w:val="255"/>
        </w:trPr>
        <w:tc>
          <w:tcPr>
            <w:tcW w:w="1420" w:type="dxa"/>
            <w:tcBorders>
              <w:top w:val="nil"/>
              <w:left w:val="nil"/>
              <w:bottom w:val="nil"/>
              <w:right w:val="nil"/>
            </w:tcBorders>
            <w:shd w:val="clear" w:color="FFFFCC" w:fill="FF7D67"/>
            <w:noWrap/>
            <w:vAlign w:val="bottom"/>
            <w:hideMark/>
          </w:tcPr>
          <w:p w14:paraId="3BFF6429" w14:textId="77777777" w:rsidR="00085BF8" w:rsidRPr="00085BF8" w:rsidRDefault="00085BF8" w:rsidP="00085BF8">
            <w:pPr>
              <w:spacing w:after="0" w:line="240" w:lineRule="auto"/>
              <w:jc w:val="center"/>
              <w:rPr>
                <w:rFonts w:ascii="Arial" w:eastAsia="Times New Roman" w:hAnsi="Arial" w:cs="Arial"/>
                <w:b/>
                <w:bCs/>
                <w:color w:val="000000"/>
                <w:sz w:val="20"/>
                <w:szCs w:val="20"/>
                <w:lang w:val="en-GB" w:eastAsia="en-GB"/>
              </w:rPr>
            </w:pPr>
            <w:r w:rsidRPr="00085BF8">
              <w:rPr>
                <w:rFonts w:ascii="Arial" w:eastAsia="Times New Roman" w:hAnsi="Arial" w:cs="Arial"/>
                <w:b/>
                <w:bCs/>
                <w:color w:val="000000"/>
                <w:sz w:val="20"/>
                <w:szCs w:val="20"/>
                <w:lang w:val="en-GB" w:eastAsia="en-GB"/>
              </w:rPr>
              <w:t>No</w:t>
            </w:r>
          </w:p>
        </w:tc>
        <w:tc>
          <w:tcPr>
            <w:tcW w:w="6235" w:type="dxa"/>
            <w:tcBorders>
              <w:top w:val="nil"/>
              <w:left w:val="nil"/>
              <w:bottom w:val="nil"/>
              <w:right w:val="nil"/>
            </w:tcBorders>
            <w:shd w:val="clear" w:color="FFFFCC" w:fill="FFFFFF"/>
            <w:noWrap/>
            <w:vAlign w:val="bottom"/>
            <w:hideMark/>
          </w:tcPr>
          <w:p w14:paraId="4FB23BBB" w14:textId="77777777" w:rsidR="00085BF8" w:rsidRPr="00085BF8" w:rsidRDefault="00085BF8" w:rsidP="00085BF8">
            <w:pPr>
              <w:spacing w:after="0" w:line="240" w:lineRule="auto"/>
              <w:jc w:val="left"/>
              <w:rPr>
                <w:rFonts w:ascii="Arial" w:eastAsia="Times New Roman" w:hAnsi="Arial" w:cs="Arial"/>
                <w:b/>
                <w:bCs/>
                <w:color w:val="000000"/>
                <w:sz w:val="20"/>
                <w:szCs w:val="20"/>
                <w:lang w:val="en-GB" w:eastAsia="en-GB"/>
              </w:rPr>
            </w:pPr>
            <w:r w:rsidRPr="00085BF8">
              <w:rPr>
                <w:rFonts w:ascii="Arial" w:eastAsia="Times New Roman" w:hAnsi="Arial" w:cs="Arial"/>
                <w:b/>
                <w:bCs/>
                <w:color w:val="000000"/>
                <w:sz w:val="20"/>
                <w:szCs w:val="20"/>
                <w:lang w:val="en-GB" w:eastAsia="en-GB"/>
              </w:rPr>
              <w:t>yet to decide / decided not to / not set a date.</w:t>
            </w:r>
          </w:p>
        </w:tc>
      </w:tr>
    </w:tbl>
    <w:p w14:paraId="37BF520D" w14:textId="77777777" w:rsidR="00085BF8" w:rsidRDefault="00085BF8">
      <w:pPr>
        <w:spacing w:after="0" w:line="240" w:lineRule="auto"/>
        <w:jc w:val="left"/>
      </w:pPr>
    </w:p>
    <w:p w14:paraId="41BB8B06" w14:textId="42342B02" w:rsidR="00350204" w:rsidRDefault="0024546A" w:rsidP="000713AE">
      <w:pPr>
        <w:spacing w:after="0" w:line="240" w:lineRule="auto"/>
        <w:jc w:val="left"/>
      </w:pPr>
      <w:r>
        <w:t>Just over half of authorities have a S167 list or intend to create one by the end of the financial year.</w:t>
      </w:r>
    </w:p>
    <w:p w14:paraId="6662C8C9" w14:textId="77777777" w:rsidR="000823FF" w:rsidRDefault="000823FF" w:rsidP="000713AE">
      <w:pPr>
        <w:spacing w:after="0" w:line="240" w:lineRule="auto"/>
        <w:jc w:val="left"/>
      </w:pPr>
    </w:p>
    <w:p w14:paraId="52F3D8B9" w14:textId="3B855BF5" w:rsidR="00654D8C" w:rsidRDefault="00335219" w:rsidP="00AD1BAD">
      <w:pPr>
        <w:pStyle w:val="Heading3"/>
      </w:pPr>
      <w:bookmarkStart w:id="71" w:name="_Toc488088771"/>
      <w:bookmarkStart w:id="72" w:name="_Toc488093159"/>
      <w:bookmarkStart w:id="73" w:name="_Toc512556899"/>
      <w:r>
        <w:rPr>
          <w:noProof/>
        </w:rPr>
        <w:drawing>
          <wp:anchor distT="0" distB="0" distL="114300" distR="114300" simplePos="0" relativeHeight="251826688" behindDoc="1" locked="0" layoutInCell="1" allowOverlap="1" wp14:anchorId="1E6D22FB" wp14:editId="2C8D395A">
            <wp:simplePos x="0" y="0"/>
            <wp:positionH relativeFrom="column">
              <wp:posOffset>3843020</wp:posOffset>
            </wp:positionH>
            <wp:positionV relativeFrom="paragraph">
              <wp:posOffset>351155</wp:posOffset>
            </wp:positionV>
            <wp:extent cx="1685925" cy="2172970"/>
            <wp:effectExtent l="57150" t="57150" r="180975" b="170180"/>
            <wp:wrapTight wrapText="bothSides">
              <wp:wrapPolygon edited="0">
                <wp:start x="-732" y="-568"/>
                <wp:lineTo x="-732" y="21019"/>
                <wp:lineTo x="244" y="23102"/>
                <wp:lineTo x="23431" y="23102"/>
                <wp:lineTo x="23675" y="2083"/>
                <wp:lineTo x="22454" y="-189"/>
                <wp:lineTo x="21966" y="-568"/>
                <wp:lineTo x="-732" y="-568"/>
              </wp:wrapPolygon>
            </wp:wrapTight>
            <wp:docPr id="16" name="Chart 16">
              <a:extLst xmlns:a="http://schemas.openxmlformats.org/drawingml/2006/main">
                <a:ext uri="{FF2B5EF4-FFF2-40B4-BE49-F238E27FC236}">
                  <a16:creationId xmlns:a16="http://schemas.microsoft.com/office/drawing/2014/main" id="{1900C886-2A7E-4FB5-B691-5A3533287BA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25664" behindDoc="1" locked="0" layoutInCell="1" allowOverlap="1" wp14:anchorId="6DC861DC" wp14:editId="16763D1F">
            <wp:simplePos x="0" y="0"/>
            <wp:positionH relativeFrom="column">
              <wp:posOffset>1854835</wp:posOffset>
            </wp:positionH>
            <wp:positionV relativeFrom="paragraph">
              <wp:posOffset>324485</wp:posOffset>
            </wp:positionV>
            <wp:extent cx="1714500" cy="2223770"/>
            <wp:effectExtent l="57150" t="57150" r="190500" b="176530"/>
            <wp:wrapTight wrapText="bothSides">
              <wp:wrapPolygon edited="0">
                <wp:start x="-720" y="-555"/>
                <wp:lineTo x="-720" y="21649"/>
                <wp:lineTo x="240" y="23130"/>
                <wp:lineTo x="23520" y="23130"/>
                <wp:lineTo x="23760" y="1850"/>
                <wp:lineTo x="22800" y="0"/>
                <wp:lineTo x="22080" y="-555"/>
                <wp:lineTo x="-720" y="-555"/>
              </wp:wrapPolygon>
            </wp:wrapTight>
            <wp:docPr id="14" name="Chart 14">
              <a:extLst xmlns:a="http://schemas.openxmlformats.org/drawingml/2006/main">
                <a:ext uri="{FF2B5EF4-FFF2-40B4-BE49-F238E27FC236}">
                  <a16:creationId xmlns:a16="http://schemas.microsoft.com/office/drawing/2014/main" id="{6408DFE2-2484-4951-8733-FEF0B1C0493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24640" behindDoc="1" locked="0" layoutInCell="1" allowOverlap="1" wp14:anchorId="63CD8B29" wp14:editId="51138C3A">
            <wp:simplePos x="0" y="0"/>
            <wp:positionH relativeFrom="column">
              <wp:posOffset>-198396</wp:posOffset>
            </wp:positionH>
            <wp:positionV relativeFrom="paragraph">
              <wp:posOffset>324485</wp:posOffset>
            </wp:positionV>
            <wp:extent cx="1722783" cy="2223770"/>
            <wp:effectExtent l="57150" t="57150" r="182245" b="176530"/>
            <wp:wrapTight wrapText="bothSides">
              <wp:wrapPolygon edited="0">
                <wp:start x="-717" y="-555"/>
                <wp:lineTo x="-717" y="21649"/>
                <wp:lineTo x="239" y="23130"/>
                <wp:lineTo x="23168" y="23130"/>
                <wp:lineTo x="23646" y="20539"/>
                <wp:lineTo x="23646" y="1850"/>
                <wp:lineTo x="22691" y="0"/>
                <wp:lineTo x="21974" y="-555"/>
                <wp:lineTo x="-717" y="-555"/>
              </wp:wrapPolygon>
            </wp:wrapTight>
            <wp:docPr id="13" name="Chart 13">
              <a:extLst xmlns:a="http://schemas.openxmlformats.org/drawingml/2006/main">
                <a:ext uri="{FF2B5EF4-FFF2-40B4-BE49-F238E27FC236}">
                  <a16:creationId xmlns:a16="http://schemas.microsoft.com/office/drawing/2014/main" id="{C14927D9-212D-408C-A2E5-2664231FF02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page">
              <wp14:pctWidth>0</wp14:pctWidth>
            </wp14:sizeRelH>
            <wp14:sizeRelV relativeFrom="page">
              <wp14:pctHeight>0</wp14:pctHeight>
            </wp14:sizeRelV>
          </wp:anchor>
        </w:drawing>
      </w:r>
      <w:r w:rsidR="00AD1BAD">
        <w:t>S1</w:t>
      </w:r>
      <w:r w:rsidR="00654D8C">
        <w:t>67 intent by Country</w:t>
      </w:r>
      <w:bookmarkEnd w:id="71"/>
      <w:bookmarkEnd w:id="72"/>
      <w:bookmarkEnd w:id="73"/>
    </w:p>
    <w:p w14:paraId="41F319C7" w14:textId="29E89B09" w:rsidR="00027D8F" w:rsidRDefault="00654D8C" w:rsidP="00027D8F">
      <w:pPr>
        <w:keepNext/>
        <w:spacing w:after="0" w:line="240" w:lineRule="auto"/>
        <w:ind w:left="-142"/>
        <w:jc w:val="left"/>
      </w:pPr>
      <w:r w:rsidRPr="00654D8C">
        <w:rPr>
          <w:noProof/>
        </w:rPr>
        <w:t xml:space="preserve"> </w:t>
      </w:r>
    </w:p>
    <w:p w14:paraId="6FCE2485" w14:textId="7A44DC73" w:rsidR="00654D8C" w:rsidRDefault="00027D8F" w:rsidP="00335219">
      <w:pPr>
        <w:pStyle w:val="Caption"/>
      </w:pPr>
      <w:bookmarkStart w:id="74" w:name="_Toc488087941"/>
      <w:bookmarkStart w:id="75" w:name="_Toc488087987"/>
      <w:bookmarkStart w:id="76" w:name="_Toc512556851"/>
      <w:r>
        <w:t xml:space="preserve">Figure </w:t>
      </w:r>
      <w:r>
        <w:fldChar w:fldCharType="begin"/>
      </w:r>
      <w:r>
        <w:instrText xml:space="preserve"> SEQ Figure \* ARABIC </w:instrText>
      </w:r>
      <w:r>
        <w:fldChar w:fldCharType="separate"/>
      </w:r>
      <w:r w:rsidR="0099156B">
        <w:rPr>
          <w:noProof/>
        </w:rPr>
        <w:t>2</w:t>
      </w:r>
      <w:r>
        <w:fldChar w:fldCharType="end"/>
      </w:r>
      <w:r>
        <w:t xml:space="preserve"> – Constituent countries S167 intent</w:t>
      </w:r>
      <w:bookmarkEnd w:id="74"/>
      <w:bookmarkEnd w:id="75"/>
      <w:bookmarkEnd w:id="76"/>
    </w:p>
    <w:p w14:paraId="71142D68" w14:textId="77777777" w:rsidR="00335219" w:rsidRPr="00335219" w:rsidRDefault="00335219" w:rsidP="00335219"/>
    <w:tbl>
      <w:tblPr>
        <w:tblW w:w="8637" w:type="dxa"/>
        <w:tblCellMar>
          <w:top w:w="15" w:type="dxa"/>
          <w:bottom w:w="15" w:type="dxa"/>
        </w:tblCellMar>
        <w:tblLook w:val="04A0" w:firstRow="1" w:lastRow="0" w:firstColumn="1" w:lastColumn="0" w:noHBand="0" w:noVBand="1"/>
      </w:tblPr>
      <w:tblGrid>
        <w:gridCol w:w="832"/>
        <w:gridCol w:w="1276"/>
        <w:gridCol w:w="1275"/>
        <w:gridCol w:w="1420"/>
        <w:gridCol w:w="1278"/>
        <w:gridCol w:w="1278"/>
        <w:gridCol w:w="1278"/>
      </w:tblGrid>
      <w:tr w:rsidR="004A7F80" w:rsidRPr="00A17C30" w14:paraId="2F1E2EEA" w14:textId="6224E9E7" w:rsidTr="00390BD1">
        <w:trPr>
          <w:trHeight w:val="615"/>
        </w:trPr>
        <w:tc>
          <w:tcPr>
            <w:tcW w:w="832" w:type="dxa"/>
            <w:tcBorders>
              <w:top w:val="single" w:sz="12" w:space="0" w:color="auto"/>
              <w:left w:val="single" w:sz="12" w:space="0" w:color="auto"/>
              <w:bottom w:val="single" w:sz="12" w:space="0" w:color="auto"/>
              <w:right w:val="single" w:sz="8" w:space="0" w:color="auto"/>
            </w:tcBorders>
            <w:vAlign w:val="center"/>
            <w:hideMark/>
          </w:tcPr>
          <w:p w14:paraId="2C3BB846" w14:textId="77777777" w:rsidR="004A7F80" w:rsidRPr="00A17C30" w:rsidRDefault="004A7F80" w:rsidP="004A7F80">
            <w:pPr>
              <w:spacing w:after="0" w:line="240" w:lineRule="auto"/>
              <w:jc w:val="center"/>
              <w:rPr>
                <w:rFonts w:ascii="Arial" w:eastAsia="Times New Roman" w:hAnsi="Arial" w:cs="Arial"/>
                <w:b/>
                <w:bCs/>
                <w:sz w:val="20"/>
                <w:szCs w:val="20"/>
                <w:lang w:val="en-GB" w:eastAsia="en-GB"/>
              </w:rPr>
            </w:pPr>
            <w:r w:rsidRPr="00A17C30">
              <w:rPr>
                <w:rFonts w:ascii="Arial" w:eastAsia="Times New Roman" w:hAnsi="Arial" w:cs="Arial"/>
                <w:b/>
                <w:bCs/>
                <w:sz w:val="20"/>
                <w:szCs w:val="20"/>
                <w:lang w:val="en-GB" w:eastAsia="en-GB"/>
              </w:rPr>
              <w:t>S167 intent</w:t>
            </w:r>
          </w:p>
        </w:tc>
        <w:tc>
          <w:tcPr>
            <w:tcW w:w="1276" w:type="dxa"/>
            <w:tcBorders>
              <w:top w:val="single" w:sz="12" w:space="0" w:color="auto"/>
              <w:left w:val="nil"/>
              <w:bottom w:val="single" w:sz="12" w:space="0" w:color="auto"/>
              <w:right w:val="nil"/>
            </w:tcBorders>
            <w:vAlign w:val="center"/>
            <w:hideMark/>
          </w:tcPr>
          <w:p w14:paraId="0A191785" w14:textId="77777777" w:rsidR="004A7F80" w:rsidRPr="00A17C30" w:rsidRDefault="004A7F80" w:rsidP="004A7F80">
            <w:pPr>
              <w:spacing w:after="0" w:line="240" w:lineRule="auto"/>
              <w:jc w:val="center"/>
              <w:rPr>
                <w:rFonts w:ascii="Arial" w:eastAsia="Times New Roman" w:hAnsi="Arial" w:cs="Arial"/>
                <w:b/>
                <w:bCs/>
                <w:sz w:val="20"/>
                <w:szCs w:val="20"/>
                <w:lang w:val="en-GB" w:eastAsia="en-GB"/>
              </w:rPr>
            </w:pPr>
            <w:r w:rsidRPr="00A17C30">
              <w:rPr>
                <w:rFonts w:ascii="Arial" w:eastAsia="Times New Roman" w:hAnsi="Arial" w:cs="Arial"/>
                <w:b/>
                <w:bCs/>
                <w:sz w:val="20"/>
                <w:szCs w:val="20"/>
                <w:lang w:val="en-GB" w:eastAsia="en-GB"/>
              </w:rPr>
              <w:t>English Authorities</w:t>
            </w:r>
          </w:p>
        </w:tc>
        <w:tc>
          <w:tcPr>
            <w:tcW w:w="1275" w:type="dxa"/>
            <w:tcBorders>
              <w:top w:val="single" w:sz="12" w:space="0" w:color="auto"/>
              <w:left w:val="nil"/>
              <w:bottom w:val="single" w:sz="12" w:space="0" w:color="auto"/>
              <w:right w:val="nil"/>
            </w:tcBorders>
            <w:vAlign w:val="center"/>
            <w:hideMark/>
          </w:tcPr>
          <w:p w14:paraId="7FA804BB" w14:textId="77777777" w:rsidR="004A7F80" w:rsidRPr="00A17C30" w:rsidRDefault="004A7F80" w:rsidP="004A7F80">
            <w:pPr>
              <w:spacing w:after="0" w:line="240" w:lineRule="auto"/>
              <w:jc w:val="center"/>
              <w:rPr>
                <w:rFonts w:ascii="Arial" w:eastAsia="Times New Roman" w:hAnsi="Arial" w:cs="Arial"/>
                <w:b/>
                <w:bCs/>
                <w:sz w:val="20"/>
                <w:szCs w:val="20"/>
                <w:lang w:val="en-GB" w:eastAsia="en-GB"/>
              </w:rPr>
            </w:pPr>
            <w:r w:rsidRPr="00A17C30">
              <w:rPr>
                <w:rFonts w:ascii="Arial" w:eastAsia="Times New Roman" w:hAnsi="Arial" w:cs="Arial"/>
                <w:b/>
                <w:bCs/>
                <w:sz w:val="20"/>
                <w:szCs w:val="20"/>
                <w:lang w:val="en-GB" w:eastAsia="en-GB"/>
              </w:rPr>
              <w:t>% English Authorities</w:t>
            </w:r>
          </w:p>
        </w:tc>
        <w:tc>
          <w:tcPr>
            <w:tcW w:w="1420" w:type="dxa"/>
            <w:tcBorders>
              <w:top w:val="single" w:sz="12" w:space="0" w:color="auto"/>
              <w:left w:val="single" w:sz="8" w:space="0" w:color="auto"/>
              <w:bottom w:val="single" w:sz="12" w:space="0" w:color="auto"/>
              <w:right w:val="nil"/>
            </w:tcBorders>
            <w:vAlign w:val="center"/>
            <w:hideMark/>
          </w:tcPr>
          <w:p w14:paraId="6BCA7BB5" w14:textId="77777777" w:rsidR="004A7F80" w:rsidRPr="00A17C30" w:rsidRDefault="004A7F80" w:rsidP="004A7F80">
            <w:pPr>
              <w:spacing w:after="0" w:line="240" w:lineRule="auto"/>
              <w:jc w:val="center"/>
              <w:rPr>
                <w:rFonts w:ascii="Arial" w:eastAsia="Times New Roman" w:hAnsi="Arial" w:cs="Arial"/>
                <w:b/>
                <w:bCs/>
                <w:sz w:val="20"/>
                <w:szCs w:val="20"/>
                <w:lang w:val="en-GB" w:eastAsia="en-GB"/>
              </w:rPr>
            </w:pPr>
            <w:r w:rsidRPr="00A17C30">
              <w:rPr>
                <w:rFonts w:ascii="Arial" w:eastAsia="Times New Roman" w:hAnsi="Arial" w:cs="Arial"/>
                <w:b/>
                <w:bCs/>
                <w:sz w:val="20"/>
                <w:szCs w:val="20"/>
                <w:lang w:val="en-GB" w:eastAsia="en-GB"/>
              </w:rPr>
              <w:t>Scottish Authorities</w:t>
            </w:r>
          </w:p>
        </w:tc>
        <w:tc>
          <w:tcPr>
            <w:tcW w:w="1278" w:type="dxa"/>
            <w:tcBorders>
              <w:top w:val="single" w:sz="12" w:space="0" w:color="auto"/>
              <w:left w:val="nil"/>
              <w:bottom w:val="single" w:sz="12" w:space="0" w:color="auto"/>
              <w:right w:val="single" w:sz="12" w:space="0" w:color="auto"/>
            </w:tcBorders>
            <w:vAlign w:val="center"/>
            <w:hideMark/>
          </w:tcPr>
          <w:p w14:paraId="51F8BFAC" w14:textId="77777777" w:rsidR="004A7F80" w:rsidRPr="00A17C30" w:rsidRDefault="004A7F80" w:rsidP="004A7F80">
            <w:pPr>
              <w:spacing w:after="0" w:line="240" w:lineRule="auto"/>
              <w:jc w:val="center"/>
              <w:rPr>
                <w:rFonts w:ascii="Arial" w:eastAsia="Times New Roman" w:hAnsi="Arial" w:cs="Arial"/>
                <w:b/>
                <w:bCs/>
                <w:sz w:val="20"/>
                <w:szCs w:val="20"/>
                <w:lang w:val="en-GB" w:eastAsia="en-GB"/>
              </w:rPr>
            </w:pPr>
            <w:r w:rsidRPr="00A17C30">
              <w:rPr>
                <w:rFonts w:ascii="Arial" w:eastAsia="Times New Roman" w:hAnsi="Arial" w:cs="Arial"/>
                <w:b/>
                <w:bCs/>
                <w:sz w:val="20"/>
                <w:szCs w:val="20"/>
                <w:lang w:val="en-GB" w:eastAsia="en-GB"/>
              </w:rPr>
              <w:t>% Scottish Authorities</w:t>
            </w:r>
          </w:p>
        </w:tc>
        <w:tc>
          <w:tcPr>
            <w:tcW w:w="1278" w:type="dxa"/>
            <w:tcBorders>
              <w:top w:val="single" w:sz="12" w:space="0" w:color="auto"/>
              <w:left w:val="single" w:sz="12" w:space="0" w:color="auto"/>
              <w:bottom w:val="single" w:sz="12" w:space="0" w:color="auto"/>
            </w:tcBorders>
            <w:shd w:val="clear" w:color="auto" w:fill="auto"/>
            <w:vAlign w:val="center"/>
          </w:tcPr>
          <w:p w14:paraId="310F92A4" w14:textId="38820F5E" w:rsidR="004A7F80" w:rsidRPr="00A17C30" w:rsidRDefault="00A55788" w:rsidP="004A7F80">
            <w:pPr>
              <w:spacing w:after="0" w:line="240" w:lineRule="auto"/>
              <w:jc w:val="center"/>
              <w:rPr>
                <w:rFonts w:ascii="Arial" w:eastAsia="Times New Roman" w:hAnsi="Arial" w:cs="Arial"/>
                <w:b/>
                <w:bCs/>
                <w:sz w:val="20"/>
                <w:szCs w:val="20"/>
                <w:lang w:val="en-GB" w:eastAsia="en-GB"/>
              </w:rPr>
            </w:pPr>
            <w:r>
              <w:rPr>
                <w:rFonts w:ascii="Arial" w:eastAsia="Times New Roman" w:hAnsi="Arial" w:cs="Arial"/>
                <w:b/>
                <w:bCs/>
                <w:sz w:val="20"/>
                <w:szCs w:val="20"/>
                <w:lang w:val="en-GB" w:eastAsia="en-GB"/>
              </w:rPr>
              <w:t>Welsh</w:t>
            </w:r>
            <w:r w:rsidR="004A7F80" w:rsidRPr="00A17C30">
              <w:rPr>
                <w:rFonts w:ascii="Arial" w:eastAsia="Times New Roman" w:hAnsi="Arial" w:cs="Arial"/>
                <w:b/>
                <w:bCs/>
                <w:sz w:val="20"/>
                <w:szCs w:val="20"/>
                <w:lang w:val="en-GB" w:eastAsia="en-GB"/>
              </w:rPr>
              <w:t xml:space="preserve"> Authorities</w:t>
            </w:r>
          </w:p>
        </w:tc>
        <w:tc>
          <w:tcPr>
            <w:tcW w:w="1278" w:type="dxa"/>
            <w:tcBorders>
              <w:top w:val="single" w:sz="12" w:space="0" w:color="auto"/>
              <w:bottom w:val="single" w:sz="12" w:space="0" w:color="auto"/>
              <w:right w:val="single" w:sz="12" w:space="0" w:color="auto"/>
            </w:tcBorders>
            <w:shd w:val="clear" w:color="auto" w:fill="auto"/>
            <w:vAlign w:val="center"/>
          </w:tcPr>
          <w:p w14:paraId="3D2E321D" w14:textId="48B5EEF8" w:rsidR="004A7F80" w:rsidRPr="00A17C30" w:rsidRDefault="004A7F80" w:rsidP="004A7F80">
            <w:pPr>
              <w:spacing w:after="0" w:line="240" w:lineRule="auto"/>
              <w:jc w:val="center"/>
              <w:rPr>
                <w:rFonts w:ascii="Arial" w:eastAsia="Times New Roman" w:hAnsi="Arial" w:cs="Arial"/>
                <w:b/>
                <w:bCs/>
                <w:sz w:val="20"/>
                <w:szCs w:val="20"/>
                <w:lang w:val="en-GB" w:eastAsia="en-GB"/>
              </w:rPr>
            </w:pPr>
            <w:r w:rsidRPr="00A17C30">
              <w:rPr>
                <w:rFonts w:ascii="Arial" w:eastAsia="Times New Roman" w:hAnsi="Arial" w:cs="Arial"/>
                <w:b/>
                <w:bCs/>
                <w:sz w:val="20"/>
                <w:szCs w:val="20"/>
                <w:lang w:val="en-GB" w:eastAsia="en-GB"/>
              </w:rPr>
              <w:t xml:space="preserve">% </w:t>
            </w:r>
            <w:r w:rsidR="00A55788">
              <w:rPr>
                <w:rFonts w:ascii="Arial" w:eastAsia="Times New Roman" w:hAnsi="Arial" w:cs="Arial"/>
                <w:b/>
                <w:bCs/>
                <w:sz w:val="20"/>
                <w:szCs w:val="20"/>
                <w:lang w:val="en-GB" w:eastAsia="en-GB"/>
              </w:rPr>
              <w:t>Welsh</w:t>
            </w:r>
            <w:r w:rsidRPr="00A17C30">
              <w:rPr>
                <w:rFonts w:ascii="Arial" w:eastAsia="Times New Roman" w:hAnsi="Arial" w:cs="Arial"/>
                <w:b/>
                <w:bCs/>
                <w:sz w:val="20"/>
                <w:szCs w:val="20"/>
                <w:lang w:val="en-GB" w:eastAsia="en-GB"/>
              </w:rPr>
              <w:t xml:space="preserve"> Authorities</w:t>
            </w:r>
          </w:p>
        </w:tc>
      </w:tr>
      <w:tr w:rsidR="000162D0" w:rsidRPr="00A17C30" w14:paraId="6DDB280B" w14:textId="30454B4B" w:rsidTr="00390BD1">
        <w:trPr>
          <w:trHeight w:val="270"/>
        </w:trPr>
        <w:tc>
          <w:tcPr>
            <w:tcW w:w="832" w:type="dxa"/>
            <w:tcBorders>
              <w:top w:val="single" w:sz="12" w:space="0" w:color="auto"/>
              <w:left w:val="single" w:sz="12" w:space="0" w:color="auto"/>
              <w:bottom w:val="nil"/>
              <w:right w:val="single" w:sz="8" w:space="0" w:color="auto"/>
            </w:tcBorders>
            <w:shd w:val="clear" w:color="000000" w:fill="99BD66"/>
            <w:noWrap/>
            <w:vAlign w:val="center"/>
            <w:hideMark/>
          </w:tcPr>
          <w:p w14:paraId="33FA88A5" w14:textId="77777777" w:rsidR="000162D0" w:rsidRPr="00A17C30" w:rsidRDefault="000162D0" w:rsidP="000162D0">
            <w:pPr>
              <w:spacing w:after="0" w:line="240" w:lineRule="auto"/>
              <w:jc w:val="center"/>
              <w:rPr>
                <w:rFonts w:ascii="Arial" w:eastAsia="Times New Roman" w:hAnsi="Arial" w:cs="Arial"/>
                <w:sz w:val="20"/>
                <w:szCs w:val="20"/>
                <w:lang w:val="en-GB" w:eastAsia="en-GB"/>
              </w:rPr>
            </w:pPr>
            <w:r w:rsidRPr="00A17C30">
              <w:rPr>
                <w:rFonts w:ascii="Arial" w:eastAsia="Times New Roman" w:hAnsi="Arial" w:cs="Arial"/>
                <w:sz w:val="20"/>
                <w:szCs w:val="20"/>
                <w:lang w:val="en-GB" w:eastAsia="en-GB"/>
              </w:rPr>
              <w:t>Yes</w:t>
            </w:r>
          </w:p>
        </w:tc>
        <w:tc>
          <w:tcPr>
            <w:tcW w:w="1276" w:type="dxa"/>
            <w:tcBorders>
              <w:top w:val="single" w:sz="12" w:space="0" w:color="auto"/>
              <w:left w:val="nil"/>
              <w:bottom w:val="nil"/>
              <w:right w:val="nil"/>
            </w:tcBorders>
            <w:noWrap/>
            <w:vAlign w:val="bottom"/>
            <w:hideMark/>
          </w:tcPr>
          <w:p w14:paraId="2D590047" w14:textId="05299294" w:rsidR="000162D0" w:rsidRPr="00A17C30" w:rsidRDefault="000162D0" w:rsidP="000162D0">
            <w:pPr>
              <w:spacing w:after="0" w:line="240" w:lineRule="auto"/>
              <w:jc w:val="center"/>
              <w:rPr>
                <w:rFonts w:ascii="Arial" w:eastAsia="Times New Roman" w:hAnsi="Arial" w:cs="Arial"/>
                <w:sz w:val="20"/>
                <w:szCs w:val="20"/>
                <w:lang w:val="en-GB" w:eastAsia="en-GB"/>
              </w:rPr>
            </w:pPr>
            <w:r>
              <w:rPr>
                <w:rFonts w:ascii="Arial" w:hAnsi="Arial" w:cs="Arial"/>
                <w:b/>
                <w:bCs/>
                <w:color w:val="757171"/>
                <w:sz w:val="20"/>
                <w:szCs w:val="20"/>
              </w:rPr>
              <w:t>148</w:t>
            </w:r>
          </w:p>
        </w:tc>
        <w:tc>
          <w:tcPr>
            <w:tcW w:w="1275" w:type="dxa"/>
            <w:tcBorders>
              <w:top w:val="single" w:sz="12" w:space="0" w:color="auto"/>
              <w:left w:val="nil"/>
              <w:bottom w:val="nil"/>
              <w:right w:val="nil"/>
            </w:tcBorders>
            <w:noWrap/>
            <w:vAlign w:val="bottom"/>
            <w:hideMark/>
          </w:tcPr>
          <w:p w14:paraId="4A6C7191" w14:textId="173099E0" w:rsidR="000162D0" w:rsidRPr="00A17C30" w:rsidRDefault="000162D0" w:rsidP="000162D0">
            <w:pPr>
              <w:spacing w:after="0" w:line="240" w:lineRule="auto"/>
              <w:jc w:val="center"/>
              <w:rPr>
                <w:rFonts w:ascii="Arial" w:eastAsia="Times New Roman" w:hAnsi="Arial" w:cs="Arial"/>
                <w:sz w:val="20"/>
                <w:szCs w:val="20"/>
                <w:lang w:val="en-GB" w:eastAsia="en-GB"/>
              </w:rPr>
            </w:pPr>
            <w:r>
              <w:rPr>
                <w:rFonts w:ascii="Arial" w:hAnsi="Arial" w:cs="Arial"/>
                <w:b/>
                <w:bCs/>
                <w:color w:val="757171"/>
                <w:sz w:val="20"/>
                <w:szCs w:val="20"/>
              </w:rPr>
              <w:t>5</w:t>
            </w:r>
            <w:r w:rsidR="00000B06">
              <w:rPr>
                <w:rFonts w:ascii="Arial" w:hAnsi="Arial" w:cs="Arial"/>
                <w:b/>
                <w:bCs/>
                <w:color w:val="757171"/>
                <w:sz w:val="20"/>
                <w:szCs w:val="20"/>
              </w:rPr>
              <w:t>1</w:t>
            </w:r>
            <w:r>
              <w:rPr>
                <w:rFonts w:ascii="Arial" w:hAnsi="Arial" w:cs="Arial"/>
                <w:b/>
                <w:bCs/>
                <w:color w:val="757171"/>
                <w:sz w:val="20"/>
                <w:szCs w:val="20"/>
              </w:rPr>
              <w:t>%</w:t>
            </w:r>
          </w:p>
        </w:tc>
        <w:tc>
          <w:tcPr>
            <w:tcW w:w="1420" w:type="dxa"/>
            <w:tcBorders>
              <w:top w:val="single" w:sz="12" w:space="0" w:color="auto"/>
              <w:left w:val="single" w:sz="8" w:space="0" w:color="auto"/>
              <w:bottom w:val="nil"/>
              <w:right w:val="nil"/>
            </w:tcBorders>
            <w:noWrap/>
            <w:vAlign w:val="bottom"/>
            <w:hideMark/>
          </w:tcPr>
          <w:p w14:paraId="3D4DB658" w14:textId="17A9665A" w:rsidR="000162D0" w:rsidRPr="00A17C30" w:rsidRDefault="000162D0" w:rsidP="000162D0">
            <w:pPr>
              <w:spacing w:after="0" w:line="240" w:lineRule="auto"/>
              <w:jc w:val="center"/>
              <w:rPr>
                <w:rFonts w:ascii="Arial" w:eastAsia="Times New Roman" w:hAnsi="Arial" w:cs="Arial"/>
                <w:sz w:val="20"/>
                <w:szCs w:val="20"/>
                <w:lang w:val="en-GB" w:eastAsia="en-GB"/>
              </w:rPr>
            </w:pPr>
            <w:r>
              <w:rPr>
                <w:rFonts w:ascii="Arial" w:hAnsi="Arial" w:cs="Arial"/>
                <w:b/>
                <w:bCs/>
                <w:color w:val="757171"/>
                <w:sz w:val="20"/>
                <w:szCs w:val="20"/>
              </w:rPr>
              <w:t>9</w:t>
            </w:r>
          </w:p>
        </w:tc>
        <w:tc>
          <w:tcPr>
            <w:tcW w:w="1278" w:type="dxa"/>
            <w:tcBorders>
              <w:top w:val="single" w:sz="12" w:space="0" w:color="auto"/>
              <w:left w:val="nil"/>
              <w:bottom w:val="nil"/>
              <w:right w:val="single" w:sz="12" w:space="0" w:color="auto"/>
            </w:tcBorders>
            <w:noWrap/>
            <w:vAlign w:val="bottom"/>
            <w:hideMark/>
          </w:tcPr>
          <w:p w14:paraId="695932AC" w14:textId="15E62592" w:rsidR="000162D0" w:rsidRPr="00A17C30" w:rsidRDefault="000162D0" w:rsidP="000162D0">
            <w:pPr>
              <w:spacing w:after="0" w:line="240" w:lineRule="auto"/>
              <w:jc w:val="center"/>
              <w:rPr>
                <w:rFonts w:ascii="Arial" w:eastAsia="Times New Roman" w:hAnsi="Arial" w:cs="Arial"/>
                <w:sz w:val="20"/>
                <w:szCs w:val="20"/>
                <w:lang w:val="en-GB" w:eastAsia="en-GB"/>
              </w:rPr>
            </w:pPr>
            <w:r>
              <w:rPr>
                <w:rFonts w:ascii="Arial" w:hAnsi="Arial" w:cs="Arial"/>
                <w:b/>
                <w:bCs/>
                <w:color w:val="757171"/>
                <w:sz w:val="20"/>
                <w:szCs w:val="20"/>
              </w:rPr>
              <w:t>28%</w:t>
            </w:r>
          </w:p>
        </w:tc>
        <w:tc>
          <w:tcPr>
            <w:tcW w:w="1278" w:type="dxa"/>
            <w:tcBorders>
              <w:top w:val="single" w:sz="12" w:space="0" w:color="auto"/>
              <w:left w:val="single" w:sz="12" w:space="0" w:color="auto"/>
            </w:tcBorders>
            <w:shd w:val="clear" w:color="auto" w:fill="auto"/>
            <w:vAlign w:val="bottom"/>
          </w:tcPr>
          <w:p w14:paraId="7457DE89" w14:textId="1FCE9A85" w:rsidR="000162D0" w:rsidRDefault="000162D0" w:rsidP="000162D0">
            <w:pPr>
              <w:spacing w:after="0" w:line="240" w:lineRule="auto"/>
              <w:jc w:val="center"/>
              <w:rPr>
                <w:rFonts w:ascii="Arial" w:hAnsi="Arial" w:cs="Arial"/>
                <w:color w:val="000000"/>
                <w:sz w:val="20"/>
                <w:szCs w:val="20"/>
              </w:rPr>
            </w:pPr>
            <w:r>
              <w:rPr>
                <w:rFonts w:ascii="Arial" w:hAnsi="Arial" w:cs="Arial"/>
                <w:b/>
                <w:bCs/>
                <w:color w:val="757171"/>
                <w:sz w:val="20"/>
                <w:szCs w:val="20"/>
              </w:rPr>
              <w:t>16</w:t>
            </w:r>
          </w:p>
        </w:tc>
        <w:tc>
          <w:tcPr>
            <w:tcW w:w="1278" w:type="dxa"/>
            <w:tcBorders>
              <w:top w:val="single" w:sz="12" w:space="0" w:color="auto"/>
              <w:right w:val="single" w:sz="12" w:space="0" w:color="auto"/>
            </w:tcBorders>
            <w:shd w:val="clear" w:color="auto" w:fill="auto"/>
            <w:vAlign w:val="bottom"/>
          </w:tcPr>
          <w:p w14:paraId="6D663E08" w14:textId="383B9D3C" w:rsidR="000162D0" w:rsidRDefault="000162D0" w:rsidP="000162D0">
            <w:pPr>
              <w:spacing w:after="0" w:line="240" w:lineRule="auto"/>
              <w:jc w:val="center"/>
              <w:rPr>
                <w:rFonts w:ascii="Arial" w:hAnsi="Arial" w:cs="Arial"/>
                <w:color w:val="000000"/>
                <w:sz w:val="20"/>
                <w:szCs w:val="20"/>
              </w:rPr>
            </w:pPr>
            <w:r>
              <w:rPr>
                <w:rFonts w:ascii="Arial" w:hAnsi="Arial" w:cs="Arial"/>
                <w:b/>
                <w:bCs/>
                <w:color w:val="757171"/>
                <w:sz w:val="20"/>
                <w:szCs w:val="20"/>
              </w:rPr>
              <w:t>73%</w:t>
            </w:r>
          </w:p>
        </w:tc>
      </w:tr>
      <w:tr w:rsidR="000162D0" w:rsidRPr="00A17C30" w14:paraId="1383FF03" w14:textId="0666A52E" w:rsidTr="00390BD1">
        <w:trPr>
          <w:trHeight w:val="270"/>
        </w:trPr>
        <w:tc>
          <w:tcPr>
            <w:tcW w:w="832" w:type="dxa"/>
            <w:tcBorders>
              <w:top w:val="nil"/>
              <w:left w:val="single" w:sz="12" w:space="0" w:color="auto"/>
              <w:bottom w:val="nil"/>
              <w:right w:val="single" w:sz="8" w:space="0" w:color="auto"/>
            </w:tcBorders>
            <w:shd w:val="clear" w:color="000000" w:fill="FF7D67"/>
            <w:noWrap/>
            <w:vAlign w:val="center"/>
            <w:hideMark/>
          </w:tcPr>
          <w:p w14:paraId="0B9C1434" w14:textId="77777777" w:rsidR="000162D0" w:rsidRPr="00A17C30" w:rsidRDefault="000162D0" w:rsidP="000162D0">
            <w:pPr>
              <w:spacing w:after="0" w:line="240" w:lineRule="auto"/>
              <w:jc w:val="center"/>
              <w:rPr>
                <w:rFonts w:ascii="Arial" w:eastAsia="Times New Roman" w:hAnsi="Arial" w:cs="Arial"/>
                <w:sz w:val="20"/>
                <w:szCs w:val="20"/>
                <w:lang w:val="en-GB" w:eastAsia="en-GB"/>
              </w:rPr>
            </w:pPr>
            <w:r w:rsidRPr="00A17C30">
              <w:rPr>
                <w:rFonts w:ascii="Arial" w:eastAsia="Times New Roman" w:hAnsi="Arial" w:cs="Arial"/>
                <w:sz w:val="20"/>
                <w:szCs w:val="20"/>
                <w:lang w:val="en-GB" w:eastAsia="en-GB"/>
              </w:rPr>
              <w:t>No</w:t>
            </w:r>
          </w:p>
        </w:tc>
        <w:tc>
          <w:tcPr>
            <w:tcW w:w="1276" w:type="dxa"/>
            <w:tcBorders>
              <w:top w:val="nil"/>
              <w:left w:val="nil"/>
              <w:bottom w:val="nil"/>
              <w:right w:val="nil"/>
            </w:tcBorders>
            <w:noWrap/>
            <w:vAlign w:val="bottom"/>
            <w:hideMark/>
          </w:tcPr>
          <w:p w14:paraId="7DBFB912" w14:textId="6E806EE3" w:rsidR="000162D0" w:rsidRPr="00A17C30" w:rsidRDefault="000162D0" w:rsidP="000162D0">
            <w:pPr>
              <w:spacing w:after="0" w:line="240" w:lineRule="auto"/>
              <w:jc w:val="center"/>
              <w:rPr>
                <w:rFonts w:ascii="Arial" w:eastAsia="Times New Roman" w:hAnsi="Arial" w:cs="Arial"/>
                <w:sz w:val="20"/>
                <w:szCs w:val="20"/>
                <w:lang w:val="en-GB" w:eastAsia="en-GB"/>
              </w:rPr>
            </w:pPr>
            <w:r>
              <w:rPr>
                <w:rFonts w:ascii="Arial" w:hAnsi="Arial" w:cs="Arial"/>
                <w:b/>
                <w:bCs/>
                <w:color w:val="757171"/>
                <w:sz w:val="20"/>
                <w:szCs w:val="20"/>
              </w:rPr>
              <w:t>1</w:t>
            </w:r>
            <w:r w:rsidR="00000B06">
              <w:rPr>
                <w:rFonts w:ascii="Arial" w:hAnsi="Arial" w:cs="Arial"/>
                <w:b/>
                <w:bCs/>
                <w:color w:val="757171"/>
                <w:sz w:val="20"/>
                <w:szCs w:val="20"/>
              </w:rPr>
              <w:t>40</w:t>
            </w:r>
          </w:p>
        </w:tc>
        <w:tc>
          <w:tcPr>
            <w:tcW w:w="1275" w:type="dxa"/>
            <w:tcBorders>
              <w:top w:val="nil"/>
              <w:left w:val="nil"/>
              <w:bottom w:val="nil"/>
              <w:right w:val="nil"/>
            </w:tcBorders>
            <w:noWrap/>
            <w:vAlign w:val="bottom"/>
            <w:hideMark/>
          </w:tcPr>
          <w:p w14:paraId="3F2BF1DB" w14:textId="1708E82C" w:rsidR="000162D0" w:rsidRPr="00A17C30" w:rsidRDefault="000162D0" w:rsidP="000162D0">
            <w:pPr>
              <w:spacing w:after="0" w:line="240" w:lineRule="auto"/>
              <w:jc w:val="center"/>
              <w:rPr>
                <w:rFonts w:ascii="Arial" w:eastAsia="Times New Roman" w:hAnsi="Arial" w:cs="Arial"/>
                <w:sz w:val="20"/>
                <w:szCs w:val="20"/>
                <w:lang w:val="en-GB" w:eastAsia="en-GB"/>
              </w:rPr>
            </w:pPr>
            <w:r>
              <w:rPr>
                <w:rFonts w:ascii="Arial" w:hAnsi="Arial" w:cs="Arial"/>
                <w:b/>
                <w:bCs/>
                <w:color w:val="757171"/>
                <w:sz w:val="20"/>
                <w:szCs w:val="20"/>
              </w:rPr>
              <w:t>4</w:t>
            </w:r>
            <w:r w:rsidR="00000B06">
              <w:rPr>
                <w:rFonts w:ascii="Arial" w:hAnsi="Arial" w:cs="Arial"/>
                <w:b/>
                <w:bCs/>
                <w:color w:val="757171"/>
                <w:sz w:val="20"/>
                <w:szCs w:val="20"/>
              </w:rPr>
              <w:t>9</w:t>
            </w:r>
            <w:r>
              <w:rPr>
                <w:rFonts w:ascii="Arial" w:hAnsi="Arial" w:cs="Arial"/>
                <w:b/>
                <w:bCs/>
                <w:color w:val="757171"/>
                <w:sz w:val="20"/>
                <w:szCs w:val="20"/>
              </w:rPr>
              <w:t>%</w:t>
            </w:r>
          </w:p>
        </w:tc>
        <w:tc>
          <w:tcPr>
            <w:tcW w:w="1420" w:type="dxa"/>
            <w:tcBorders>
              <w:top w:val="nil"/>
              <w:left w:val="single" w:sz="8" w:space="0" w:color="auto"/>
              <w:bottom w:val="nil"/>
              <w:right w:val="nil"/>
            </w:tcBorders>
            <w:noWrap/>
            <w:vAlign w:val="bottom"/>
            <w:hideMark/>
          </w:tcPr>
          <w:p w14:paraId="13EA4464" w14:textId="522D4246" w:rsidR="000162D0" w:rsidRPr="00A17C30" w:rsidRDefault="000162D0" w:rsidP="000162D0">
            <w:pPr>
              <w:spacing w:after="0" w:line="240" w:lineRule="auto"/>
              <w:jc w:val="center"/>
              <w:rPr>
                <w:rFonts w:ascii="Arial" w:eastAsia="Times New Roman" w:hAnsi="Arial" w:cs="Arial"/>
                <w:sz w:val="20"/>
                <w:szCs w:val="20"/>
                <w:lang w:val="en-GB" w:eastAsia="en-GB"/>
              </w:rPr>
            </w:pPr>
            <w:r>
              <w:rPr>
                <w:rFonts w:ascii="Arial" w:hAnsi="Arial" w:cs="Arial"/>
                <w:b/>
                <w:bCs/>
                <w:color w:val="757171"/>
                <w:sz w:val="20"/>
                <w:szCs w:val="20"/>
              </w:rPr>
              <w:t>23</w:t>
            </w:r>
          </w:p>
        </w:tc>
        <w:tc>
          <w:tcPr>
            <w:tcW w:w="1278" w:type="dxa"/>
            <w:tcBorders>
              <w:top w:val="nil"/>
              <w:left w:val="nil"/>
              <w:bottom w:val="nil"/>
              <w:right w:val="single" w:sz="12" w:space="0" w:color="auto"/>
            </w:tcBorders>
            <w:noWrap/>
            <w:vAlign w:val="bottom"/>
            <w:hideMark/>
          </w:tcPr>
          <w:p w14:paraId="1D4E5E09" w14:textId="19763672" w:rsidR="000162D0" w:rsidRPr="00A17C30" w:rsidRDefault="000162D0" w:rsidP="000162D0">
            <w:pPr>
              <w:spacing w:after="0" w:line="240" w:lineRule="auto"/>
              <w:jc w:val="center"/>
              <w:rPr>
                <w:rFonts w:ascii="Arial" w:eastAsia="Times New Roman" w:hAnsi="Arial" w:cs="Arial"/>
                <w:sz w:val="20"/>
                <w:szCs w:val="20"/>
                <w:lang w:val="en-GB" w:eastAsia="en-GB"/>
              </w:rPr>
            </w:pPr>
            <w:r>
              <w:rPr>
                <w:rFonts w:ascii="Arial" w:hAnsi="Arial" w:cs="Arial"/>
                <w:b/>
                <w:bCs/>
                <w:color w:val="757171"/>
                <w:sz w:val="20"/>
                <w:szCs w:val="20"/>
              </w:rPr>
              <w:t>72%</w:t>
            </w:r>
          </w:p>
        </w:tc>
        <w:tc>
          <w:tcPr>
            <w:tcW w:w="1278" w:type="dxa"/>
            <w:tcBorders>
              <w:left w:val="single" w:sz="12" w:space="0" w:color="auto"/>
              <w:bottom w:val="single" w:sz="12" w:space="0" w:color="auto"/>
            </w:tcBorders>
            <w:shd w:val="clear" w:color="auto" w:fill="auto"/>
            <w:vAlign w:val="bottom"/>
          </w:tcPr>
          <w:p w14:paraId="4A89D86A" w14:textId="797CA400" w:rsidR="000162D0" w:rsidRDefault="000162D0" w:rsidP="000162D0">
            <w:pPr>
              <w:spacing w:after="0" w:line="240" w:lineRule="auto"/>
              <w:jc w:val="center"/>
              <w:rPr>
                <w:rFonts w:ascii="Arial" w:hAnsi="Arial" w:cs="Arial"/>
                <w:color w:val="000000"/>
                <w:sz w:val="20"/>
                <w:szCs w:val="20"/>
              </w:rPr>
            </w:pPr>
            <w:r>
              <w:rPr>
                <w:rFonts w:ascii="Arial" w:hAnsi="Arial" w:cs="Arial"/>
                <w:b/>
                <w:bCs/>
                <w:color w:val="757171"/>
                <w:sz w:val="20"/>
                <w:szCs w:val="20"/>
              </w:rPr>
              <w:t>6</w:t>
            </w:r>
          </w:p>
        </w:tc>
        <w:tc>
          <w:tcPr>
            <w:tcW w:w="1278" w:type="dxa"/>
            <w:tcBorders>
              <w:bottom w:val="single" w:sz="12" w:space="0" w:color="auto"/>
              <w:right w:val="single" w:sz="12" w:space="0" w:color="auto"/>
            </w:tcBorders>
            <w:shd w:val="clear" w:color="auto" w:fill="auto"/>
            <w:vAlign w:val="bottom"/>
          </w:tcPr>
          <w:p w14:paraId="2ADB9B52" w14:textId="1FB30CBE" w:rsidR="000162D0" w:rsidRDefault="000162D0" w:rsidP="000162D0">
            <w:pPr>
              <w:spacing w:after="0" w:line="240" w:lineRule="auto"/>
              <w:jc w:val="center"/>
              <w:rPr>
                <w:rFonts w:ascii="Arial" w:hAnsi="Arial" w:cs="Arial"/>
                <w:color w:val="000000"/>
                <w:sz w:val="20"/>
                <w:szCs w:val="20"/>
              </w:rPr>
            </w:pPr>
            <w:r>
              <w:rPr>
                <w:rFonts w:ascii="Arial" w:hAnsi="Arial" w:cs="Arial"/>
                <w:b/>
                <w:bCs/>
                <w:color w:val="757171"/>
                <w:sz w:val="20"/>
                <w:szCs w:val="20"/>
              </w:rPr>
              <w:t>27%</w:t>
            </w:r>
          </w:p>
        </w:tc>
      </w:tr>
      <w:tr w:rsidR="000162D0" w:rsidRPr="00A17C30" w14:paraId="3191F4B2" w14:textId="45E268D0" w:rsidTr="00390BD1">
        <w:trPr>
          <w:trHeight w:val="285"/>
        </w:trPr>
        <w:tc>
          <w:tcPr>
            <w:tcW w:w="832" w:type="dxa"/>
            <w:tcBorders>
              <w:top w:val="single" w:sz="12" w:space="0" w:color="auto"/>
              <w:left w:val="single" w:sz="12" w:space="0" w:color="auto"/>
              <w:bottom w:val="single" w:sz="12" w:space="0" w:color="auto"/>
              <w:right w:val="single" w:sz="8" w:space="0" w:color="auto"/>
            </w:tcBorders>
            <w:noWrap/>
            <w:vAlign w:val="center"/>
            <w:hideMark/>
          </w:tcPr>
          <w:p w14:paraId="49DAE477" w14:textId="77777777" w:rsidR="000162D0" w:rsidRPr="00A17C30" w:rsidRDefault="000162D0" w:rsidP="000162D0">
            <w:pPr>
              <w:spacing w:after="0" w:line="240" w:lineRule="auto"/>
              <w:jc w:val="center"/>
              <w:rPr>
                <w:rFonts w:ascii="Arial" w:eastAsia="Times New Roman" w:hAnsi="Arial" w:cs="Arial"/>
                <w:b/>
                <w:bCs/>
                <w:sz w:val="20"/>
                <w:szCs w:val="20"/>
                <w:lang w:val="en-GB" w:eastAsia="en-GB"/>
              </w:rPr>
            </w:pPr>
            <w:r>
              <w:rPr>
                <w:rFonts w:ascii="Arial" w:eastAsia="Times New Roman" w:hAnsi="Arial" w:cs="Arial"/>
                <w:b/>
                <w:bCs/>
                <w:sz w:val="20"/>
                <w:szCs w:val="20"/>
                <w:lang w:val="en-GB" w:eastAsia="en-GB"/>
              </w:rPr>
              <w:t>Total</w:t>
            </w:r>
          </w:p>
        </w:tc>
        <w:tc>
          <w:tcPr>
            <w:tcW w:w="1276" w:type="dxa"/>
            <w:tcBorders>
              <w:top w:val="single" w:sz="12" w:space="0" w:color="auto"/>
              <w:left w:val="nil"/>
              <w:bottom w:val="single" w:sz="12" w:space="0" w:color="auto"/>
              <w:right w:val="nil"/>
            </w:tcBorders>
            <w:noWrap/>
            <w:vAlign w:val="bottom"/>
            <w:hideMark/>
          </w:tcPr>
          <w:p w14:paraId="6D7B82EB" w14:textId="6E64CE91" w:rsidR="000162D0" w:rsidRPr="00A17C30" w:rsidRDefault="000162D0" w:rsidP="000162D0">
            <w:pPr>
              <w:spacing w:after="0" w:line="240" w:lineRule="auto"/>
              <w:jc w:val="center"/>
              <w:rPr>
                <w:rFonts w:ascii="Arial" w:eastAsia="Times New Roman" w:hAnsi="Arial" w:cs="Arial"/>
                <w:b/>
                <w:bCs/>
                <w:sz w:val="20"/>
                <w:szCs w:val="20"/>
                <w:lang w:val="en-GB" w:eastAsia="en-GB"/>
              </w:rPr>
            </w:pPr>
            <w:r>
              <w:rPr>
                <w:rFonts w:ascii="Arial" w:hAnsi="Arial" w:cs="Arial"/>
                <w:b/>
                <w:bCs/>
                <w:color w:val="000000"/>
                <w:sz w:val="20"/>
                <w:szCs w:val="20"/>
              </w:rPr>
              <w:t>287</w:t>
            </w:r>
          </w:p>
        </w:tc>
        <w:tc>
          <w:tcPr>
            <w:tcW w:w="1275" w:type="dxa"/>
            <w:tcBorders>
              <w:top w:val="single" w:sz="12" w:space="0" w:color="auto"/>
              <w:left w:val="nil"/>
              <w:bottom w:val="single" w:sz="12" w:space="0" w:color="auto"/>
              <w:right w:val="nil"/>
            </w:tcBorders>
            <w:noWrap/>
            <w:vAlign w:val="bottom"/>
            <w:hideMark/>
          </w:tcPr>
          <w:p w14:paraId="365A5B78" w14:textId="652EACE7" w:rsidR="000162D0" w:rsidRPr="00A17C30" w:rsidRDefault="000162D0" w:rsidP="000162D0">
            <w:pPr>
              <w:spacing w:after="0" w:line="240" w:lineRule="auto"/>
              <w:jc w:val="center"/>
              <w:rPr>
                <w:rFonts w:ascii="Arial" w:eastAsia="Times New Roman" w:hAnsi="Arial" w:cs="Arial"/>
                <w:b/>
                <w:bCs/>
                <w:sz w:val="20"/>
                <w:szCs w:val="20"/>
                <w:lang w:val="en-GB" w:eastAsia="en-GB"/>
              </w:rPr>
            </w:pPr>
            <w:r>
              <w:rPr>
                <w:rFonts w:ascii="Arial" w:hAnsi="Arial" w:cs="Arial"/>
                <w:b/>
                <w:bCs/>
                <w:color w:val="000000"/>
                <w:sz w:val="20"/>
                <w:szCs w:val="20"/>
              </w:rPr>
              <w:t>100%</w:t>
            </w:r>
          </w:p>
        </w:tc>
        <w:tc>
          <w:tcPr>
            <w:tcW w:w="1420" w:type="dxa"/>
            <w:tcBorders>
              <w:top w:val="single" w:sz="12" w:space="0" w:color="auto"/>
              <w:left w:val="single" w:sz="8" w:space="0" w:color="auto"/>
              <w:bottom w:val="single" w:sz="12" w:space="0" w:color="auto"/>
              <w:right w:val="nil"/>
            </w:tcBorders>
            <w:noWrap/>
            <w:vAlign w:val="bottom"/>
          </w:tcPr>
          <w:p w14:paraId="4373EC3A" w14:textId="67136697" w:rsidR="000162D0" w:rsidRPr="00A17C30" w:rsidRDefault="000162D0" w:rsidP="000162D0">
            <w:pPr>
              <w:spacing w:after="0" w:line="240" w:lineRule="auto"/>
              <w:jc w:val="center"/>
              <w:rPr>
                <w:rFonts w:ascii="Arial" w:eastAsia="Times New Roman" w:hAnsi="Arial" w:cs="Arial"/>
                <w:b/>
                <w:bCs/>
                <w:sz w:val="20"/>
                <w:szCs w:val="20"/>
                <w:lang w:val="en-GB" w:eastAsia="en-GB"/>
              </w:rPr>
            </w:pPr>
            <w:r>
              <w:rPr>
                <w:rFonts w:ascii="Arial" w:hAnsi="Arial" w:cs="Arial"/>
                <w:b/>
                <w:bCs/>
                <w:color w:val="000000"/>
                <w:sz w:val="20"/>
                <w:szCs w:val="20"/>
              </w:rPr>
              <w:t>32</w:t>
            </w:r>
          </w:p>
        </w:tc>
        <w:tc>
          <w:tcPr>
            <w:tcW w:w="1278" w:type="dxa"/>
            <w:tcBorders>
              <w:top w:val="single" w:sz="12" w:space="0" w:color="auto"/>
              <w:left w:val="nil"/>
              <w:bottom w:val="single" w:sz="12" w:space="0" w:color="auto"/>
              <w:right w:val="single" w:sz="12" w:space="0" w:color="auto"/>
            </w:tcBorders>
            <w:noWrap/>
            <w:vAlign w:val="bottom"/>
          </w:tcPr>
          <w:p w14:paraId="513A3A8C" w14:textId="6E538B04" w:rsidR="000162D0" w:rsidRPr="00A17C30" w:rsidRDefault="000162D0" w:rsidP="000162D0">
            <w:pPr>
              <w:spacing w:after="0" w:line="240" w:lineRule="auto"/>
              <w:jc w:val="center"/>
              <w:rPr>
                <w:rFonts w:ascii="Arial" w:eastAsia="Times New Roman" w:hAnsi="Arial" w:cs="Arial"/>
                <w:b/>
                <w:bCs/>
                <w:sz w:val="20"/>
                <w:szCs w:val="20"/>
                <w:lang w:val="en-GB" w:eastAsia="en-GB"/>
              </w:rPr>
            </w:pPr>
            <w:r>
              <w:rPr>
                <w:rFonts w:ascii="Arial" w:hAnsi="Arial" w:cs="Arial"/>
                <w:b/>
                <w:bCs/>
                <w:color w:val="000000"/>
                <w:sz w:val="20"/>
                <w:szCs w:val="20"/>
              </w:rPr>
              <w:t>100%</w:t>
            </w:r>
          </w:p>
        </w:tc>
        <w:tc>
          <w:tcPr>
            <w:tcW w:w="1278" w:type="dxa"/>
            <w:tcBorders>
              <w:top w:val="single" w:sz="12" w:space="0" w:color="auto"/>
              <w:left w:val="single" w:sz="12" w:space="0" w:color="auto"/>
              <w:bottom w:val="single" w:sz="12" w:space="0" w:color="auto"/>
            </w:tcBorders>
            <w:shd w:val="clear" w:color="auto" w:fill="auto"/>
            <w:vAlign w:val="bottom"/>
          </w:tcPr>
          <w:p w14:paraId="299B3DB9" w14:textId="32FC959D" w:rsidR="000162D0" w:rsidRPr="00A17C30" w:rsidRDefault="000162D0" w:rsidP="000162D0">
            <w:pPr>
              <w:spacing w:after="0" w:line="240" w:lineRule="auto"/>
              <w:jc w:val="center"/>
              <w:rPr>
                <w:rFonts w:ascii="Arial" w:eastAsia="Times New Roman" w:hAnsi="Arial" w:cs="Arial"/>
                <w:b/>
                <w:bCs/>
                <w:sz w:val="20"/>
                <w:szCs w:val="20"/>
                <w:lang w:val="en-GB" w:eastAsia="en-GB"/>
              </w:rPr>
            </w:pPr>
            <w:r>
              <w:rPr>
                <w:rFonts w:ascii="Arial" w:hAnsi="Arial" w:cs="Arial"/>
                <w:b/>
                <w:bCs/>
                <w:color w:val="000000"/>
                <w:sz w:val="20"/>
                <w:szCs w:val="20"/>
              </w:rPr>
              <w:t>22</w:t>
            </w:r>
          </w:p>
        </w:tc>
        <w:tc>
          <w:tcPr>
            <w:tcW w:w="1278" w:type="dxa"/>
            <w:tcBorders>
              <w:top w:val="single" w:sz="12" w:space="0" w:color="auto"/>
              <w:bottom w:val="single" w:sz="12" w:space="0" w:color="auto"/>
              <w:right w:val="single" w:sz="12" w:space="0" w:color="auto"/>
            </w:tcBorders>
            <w:shd w:val="clear" w:color="auto" w:fill="auto"/>
            <w:vAlign w:val="bottom"/>
          </w:tcPr>
          <w:p w14:paraId="19DBCD1B" w14:textId="1F04718B" w:rsidR="000162D0" w:rsidRPr="00A17C30" w:rsidRDefault="000162D0" w:rsidP="000162D0">
            <w:pPr>
              <w:spacing w:after="0" w:line="240" w:lineRule="auto"/>
              <w:jc w:val="center"/>
              <w:rPr>
                <w:rFonts w:ascii="Arial" w:eastAsia="Times New Roman" w:hAnsi="Arial" w:cs="Arial"/>
                <w:b/>
                <w:bCs/>
                <w:sz w:val="20"/>
                <w:szCs w:val="20"/>
                <w:lang w:val="en-GB" w:eastAsia="en-GB"/>
              </w:rPr>
            </w:pPr>
            <w:r>
              <w:rPr>
                <w:rFonts w:ascii="Arial" w:hAnsi="Arial" w:cs="Arial"/>
                <w:b/>
                <w:bCs/>
                <w:color w:val="000000"/>
                <w:sz w:val="20"/>
                <w:szCs w:val="20"/>
              </w:rPr>
              <w:t>100%</w:t>
            </w:r>
          </w:p>
        </w:tc>
      </w:tr>
    </w:tbl>
    <w:p w14:paraId="47652209" w14:textId="3475A59D" w:rsidR="00426DCE" w:rsidRDefault="00027D8F" w:rsidP="00335219">
      <w:pPr>
        <w:pStyle w:val="Caption"/>
      </w:pPr>
      <w:bookmarkStart w:id="77" w:name="_Toc512556861"/>
      <w:r>
        <w:t xml:space="preserve">Table </w:t>
      </w:r>
      <w:r w:rsidR="00005B77">
        <w:fldChar w:fldCharType="begin"/>
      </w:r>
      <w:r w:rsidR="00005B77">
        <w:instrText xml:space="preserve"> SEQ Table \* ARABIC </w:instrText>
      </w:r>
      <w:r w:rsidR="00005B77">
        <w:fldChar w:fldCharType="separate"/>
      </w:r>
      <w:r w:rsidR="0099156B">
        <w:rPr>
          <w:noProof/>
        </w:rPr>
        <w:t>4</w:t>
      </w:r>
      <w:r w:rsidR="00005B77">
        <w:fldChar w:fldCharType="end"/>
      </w:r>
      <w:r>
        <w:t xml:space="preserve"> – Constituent countries S167 intent</w:t>
      </w:r>
      <w:bookmarkEnd w:id="77"/>
    </w:p>
    <w:p w14:paraId="364E3459" w14:textId="77777777" w:rsidR="00F75A76" w:rsidRDefault="00F75A76" w:rsidP="000713AE"/>
    <w:p w14:paraId="22CE6B84" w14:textId="2352F5B6" w:rsidR="000713AE" w:rsidRDefault="00A17C30" w:rsidP="000713AE">
      <w:r>
        <w:t>It is apparent that</w:t>
      </w:r>
      <w:r w:rsidR="00F75A76">
        <w:t xml:space="preserve"> Welsh authorities have a considerably more comprehensive </w:t>
      </w:r>
      <w:r w:rsidR="00FB393C">
        <w:t xml:space="preserve">and positive </w:t>
      </w:r>
      <w:r w:rsidR="00F75A76">
        <w:t xml:space="preserve">approach to S167 than the rest of Great Britain. </w:t>
      </w:r>
      <w:r>
        <w:t xml:space="preserve"> Scot</w:t>
      </w:r>
      <w:r w:rsidR="003A620B">
        <w:t xml:space="preserve">tish authorities </w:t>
      </w:r>
      <w:r>
        <w:t xml:space="preserve">have a distinctly lower rate of </w:t>
      </w:r>
      <w:r w:rsidR="00251DB4">
        <w:t xml:space="preserve">intended </w:t>
      </w:r>
      <w:r>
        <w:t xml:space="preserve">take up </w:t>
      </w:r>
      <w:r w:rsidR="009A0792">
        <w:t>of S167</w:t>
      </w:r>
      <w:r w:rsidR="003A620B">
        <w:t xml:space="preserve"> compared to </w:t>
      </w:r>
      <w:r w:rsidR="00EC13C2">
        <w:t>English</w:t>
      </w:r>
      <w:r w:rsidR="003A620B">
        <w:t xml:space="preserve"> </w:t>
      </w:r>
      <w:r w:rsidR="009A0792">
        <w:t>authorities</w:t>
      </w:r>
      <w:r w:rsidR="003A620B">
        <w:t>.</w:t>
      </w:r>
      <w:r w:rsidR="000713AE">
        <w:br w:type="page"/>
      </w:r>
    </w:p>
    <w:p w14:paraId="63FF7135" w14:textId="77777777" w:rsidR="00A17C30" w:rsidRDefault="00A17C30" w:rsidP="00A17C30">
      <w:pPr>
        <w:pStyle w:val="Heading2"/>
      </w:pPr>
      <w:bookmarkStart w:id="78" w:name="_Toc488088772"/>
      <w:bookmarkStart w:id="79" w:name="_Toc488093160"/>
      <w:bookmarkStart w:id="80" w:name="_Toc512556900"/>
      <w:r>
        <w:lastRenderedPageBreak/>
        <w:t>S167 Grade</w:t>
      </w:r>
      <w:bookmarkEnd w:id="78"/>
      <w:bookmarkEnd w:id="79"/>
      <w:bookmarkEnd w:id="80"/>
    </w:p>
    <w:p w14:paraId="5C8433A5" w14:textId="235F9A0B" w:rsidR="00133F10" w:rsidRDefault="00133F10" w:rsidP="00654D8C">
      <w:pPr>
        <w:jc w:val="center"/>
      </w:pPr>
      <w:r>
        <w:rPr>
          <w:noProof/>
        </w:rPr>
        <w:drawing>
          <wp:inline distT="0" distB="0" distL="0" distR="0" wp14:anchorId="340864E3" wp14:editId="75F76F39">
            <wp:extent cx="5062538" cy="4738688"/>
            <wp:effectExtent l="57150" t="57150" r="195580" b="195580"/>
            <wp:docPr id="9" name="Chart 9">
              <a:extLst xmlns:a="http://schemas.openxmlformats.org/drawingml/2006/main">
                <a:ext uri="{FF2B5EF4-FFF2-40B4-BE49-F238E27FC236}">
                  <a16:creationId xmlns:a16="http://schemas.microsoft.com/office/drawing/2014/main" id="{BD61B984-74A3-45DB-BBC8-8CC3976C815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70C58200" w14:textId="16B2FE50" w:rsidR="00A17C30" w:rsidRDefault="00A17C30" w:rsidP="00654D8C">
      <w:pPr>
        <w:jc w:val="center"/>
      </w:pPr>
    </w:p>
    <w:tbl>
      <w:tblPr>
        <w:tblW w:w="5920" w:type="dxa"/>
        <w:jc w:val="center"/>
        <w:tblCellMar>
          <w:top w:w="15" w:type="dxa"/>
          <w:bottom w:w="15" w:type="dxa"/>
        </w:tblCellMar>
        <w:tblLook w:val="04A0" w:firstRow="1" w:lastRow="0" w:firstColumn="1" w:lastColumn="0" w:noHBand="0" w:noVBand="1"/>
      </w:tblPr>
      <w:tblGrid>
        <w:gridCol w:w="222"/>
        <w:gridCol w:w="1140"/>
        <w:gridCol w:w="4340"/>
        <w:gridCol w:w="260"/>
      </w:tblGrid>
      <w:tr w:rsidR="00BD361D" w:rsidRPr="00BD361D" w14:paraId="5267E30D" w14:textId="77777777" w:rsidTr="00654D8C">
        <w:trPr>
          <w:trHeight w:val="90"/>
          <w:jc w:val="center"/>
        </w:trPr>
        <w:tc>
          <w:tcPr>
            <w:tcW w:w="180" w:type="dxa"/>
            <w:tcBorders>
              <w:top w:val="single" w:sz="12" w:space="0" w:color="auto"/>
              <w:left w:val="single" w:sz="12" w:space="0" w:color="auto"/>
              <w:bottom w:val="nil"/>
              <w:right w:val="nil"/>
            </w:tcBorders>
            <w:shd w:val="clear" w:color="FFFFCC" w:fill="FFFFFF"/>
            <w:noWrap/>
            <w:vAlign w:val="bottom"/>
            <w:hideMark/>
          </w:tcPr>
          <w:p w14:paraId="64192D63" w14:textId="77777777" w:rsidR="00BD361D" w:rsidRPr="00BD361D" w:rsidRDefault="00BD361D" w:rsidP="00BD361D">
            <w:pPr>
              <w:spacing w:after="0" w:line="240" w:lineRule="auto"/>
              <w:jc w:val="left"/>
              <w:rPr>
                <w:rFonts w:ascii="Times New Roman" w:eastAsia="Times New Roman" w:hAnsi="Times New Roman"/>
                <w:sz w:val="20"/>
                <w:szCs w:val="20"/>
                <w:lang w:val="en-GB" w:eastAsia="en-GB"/>
              </w:rPr>
            </w:pPr>
          </w:p>
        </w:tc>
        <w:tc>
          <w:tcPr>
            <w:tcW w:w="1140" w:type="dxa"/>
            <w:tcBorders>
              <w:top w:val="single" w:sz="12" w:space="0" w:color="auto"/>
              <w:left w:val="nil"/>
              <w:bottom w:val="nil"/>
              <w:right w:val="nil"/>
            </w:tcBorders>
            <w:shd w:val="clear" w:color="FFFFCC" w:fill="FFFFFF"/>
            <w:noWrap/>
            <w:vAlign w:val="bottom"/>
            <w:hideMark/>
          </w:tcPr>
          <w:p w14:paraId="34EF24AE" w14:textId="77777777" w:rsidR="00BD361D" w:rsidRPr="00BD361D" w:rsidRDefault="00BD361D" w:rsidP="00BD361D">
            <w:pPr>
              <w:spacing w:after="0" w:line="240" w:lineRule="auto"/>
              <w:jc w:val="left"/>
              <w:rPr>
                <w:rFonts w:ascii="Times New Roman" w:eastAsia="Times New Roman" w:hAnsi="Times New Roman"/>
                <w:sz w:val="20"/>
                <w:szCs w:val="20"/>
                <w:lang w:val="en-GB" w:eastAsia="en-GB"/>
              </w:rPr>
            </w:pPr>
          </w:p>
        </w:tc>
        <w:tc>
          <w:tcPr>
            <w:tcW w:w="4340" w:type="dxa"/>
            <w:tcBorders>
              <w:top w:val="single" w:sz="12" w:space="0" w:color="auto"/>
              <w:left w:val="nil"/>
              <w:bottom w:val="nil"/>
              <w:right w:val="nil"/>
            </w:tcBorders>
            <w:shd w:val="clear" w:color="FFFFCC" w:fill="FFFFFF"/>
            <w:noWrap/>
            <w:vAlign w:val="bottom"/>
            <w:hideMark/>
          </w:tcPr>
          <w:p w14:paraId="555EE866" w14:textId="77777777" w:rsidR="00BD361D" w:rsidRPr="00BD361D" w:rsidRDefault="00BD361D" w:rsidP="00BD361D">
            <w:pPr>
              <w:spacing w:after="0" w:line="240" w:lineRule="auto"/>
              <w:jc w:val="left"/>
              <w:rPr>
                <w:rFonts w:ascii="Times New Roman" w:eastAsia="Times New Roman" w:hAnsi="Times New Roman"/>
                <w:sz w:val="20"/>
                <w:szCs w:val="20"/>
                <w:lang w:val="en-GB" w:eastAsia="en-GB"/>
              </w:rPr>
            </w:pPr>
          </w:p>
        </w:tc>
        <w:tc>
          <w:tcPr>
            <w:tcW w:w="260" w:type="dxa"/>
            <w:tcBorders>
              <w:top w:val="single" w:sz="12" w:space="0" w:color="auto"/>
              <w:left w:val="nil"/>
              <w:bottom w:val="nil"/>
              <w:right w:val="single" w:sz="12" w:space="0" w:color="auto"/>
            </w:tcBorders>
            <w:shd w:val="clear" w:color="FFFFCC" w:fill="FFFFFF"/>
            <w:noWrap/>
            <w:vAlign w:val="bottom"/>
            <w:hideMark/>
          </w:tcPr>
          <w:p w14:paraId="35066BF2" w14:textId="77777777" w:rsidR="00BD361D" w:rsidRPr="00BD361D" w:rsidRDefault="00BD361D" w:rsidP="00BD361D">
            <w:pPr>
              <w:spacing w:after="0" w:line="240" w:lineRule="auto"/>
              <w:jc w:val="left"/>
              <w:rPr>
                <w:rFonts w:ascii="Times New Roman" w:eastAsia="Times New Roman" w:hAnsi="Times New Roman"/>
                <w:sz w:val="20"/>
                <w:szCs w:val="20"/>
                <w:lang w:val="en-GB" w:eastAsia="en-GB"/>
              </w:rPr>
            </w:pPr>
          </w:p>
        </w:tc>
      </w:tr>
      <w:tr w:rsidR="00BD361D" w:rsidRPr="00BD361D" w14:paraId="2CF5DE8E" w14:textId="77777777" w:rsidTr="00654D8C">
        <w:trPr>
          <w:trHeight w:val="255"/>
          <w:jc w:val="center"/>
        </w:trPr>
        <w:tc>
          <w:tcPr>
            <w:tcW w:w="180" w:type="dxa"/>
            <w:tcBorders>
              <w:top w:val="nil"/>
              <w:left w:val="single" w:sz="12" w:space="0" w:color="auto"/>
              <w:bottom w:val="nil"/>
              <w:right w:val="nil"/>
            </w:tcBorders>
            <w:shd w:val="clear" w:color="FFFFCC" w:fill="FFFFFF"/>
            <w:noWrap/>
            <w:vAlign w:val="bottom"/>
            <w:hideMark/>
          </w:tcPr>
          <w:p w14:paraId="767E5624" w14:textId="77777777" w:rsidR="00BD361D" w:rsidRPr="00BD361D" w:rsidRDefault="00BD361D" w:rsidP="00BD361D">
            <w:pPr>
              <w:spacing w:after="0" w:line="240" w:lineRule="auto"/>
              <w:jc w:val="left"/>
              <w:rPr>
                <w:rFonts w:ascii="Times New Roman" w:eastAsia="Times New Roman" w:hAnsi="Times New Roman"/>
                <w:sz w:val="20"/>
                <w:szCs w:val="20"/>
                <w:lang w:val="en-GB" w:eastAsia="en-GB"/>
              </w:rPr>
            </w:pPr>
          </w:p>
        </w:tc>
        <w:tc>
          <w:tcPr>
            <w:tcW w:w="1140" w:type="dxa"/>
            <w:tcBorders>
              <w:top w:val="nil"/>
              <w:left w:val="nil"/>
              <w:bottom w:val="nil"/>
              <w:right w:val="nil"/>
            </w:tcBorders>
            <w:shd w:val="clear" w:color="FFFFCC" w:fill="FFFFFF"/>
            <w:noWrap/>
            <w:vAlign w:val="bottom"/>
            <w:hideMark/>
          </w:tcPr>
          <w:p w14:paraId="67BB9CE9" w14:textId="77777777" w:rsidR="00BD361D" w:rsidRPr="00BD361D" w:rsidRDefault="00BD361D" w:rsidP="00BD361D">
            <w:pPr>
              <w:spacing w:after="0" w:line="240" w:lineRule="auto"/>
              <w:jc w:val="left"/>
              <w:rPr>
                <w:rFonts w:ascii="Arial" w:eastAsia="Times New Roman" w:hAnsi="Arial" w:cs="Arial"/>
                <w:b/>
                <w:bCs/>
                <w:color w:val="000000"/>
                <w:sz w:val="20"/>
                <w:szCs w:val="20"/>
                <w:lang w:val="en-GB" w:eastAsia="en-GB"/>
              </w:rPr>
            </w:pPr>
            <w:r w:rsidRPr="00BD361D">
              <w:rPr>
                <w:rFonts w:ascii="Arial" w:eastAsia="Times New Roman" w:hAnsi="Arial" w:cs="Arial"/>
                <w:b/>
                <w:bCs/>
                <w:color w:val="000000"/>
                <w:sz w:val="20"/>
                <w:szCs w:val="20"/>
                <w:lang w:val="en-GB" w:eastAsia="en-GB"/>
              </w:rPr>
              <w:t>LEGEND:</w:t>
            </w:r>
          </w:p>
        </w:tc>
        <w:tc>
          <w:tcPr>
            <w:tcW w:w="4340" w:type="dxa"/>
            <w:tcBorders>
              <w:top w:val="nil"/>
              <w:left w:val="nil"/>
              <w:bottom w:val="nil"/>
              <w:right w:val="nil"/>
            </w:tcBorders>
            <w:shd w:val="clear" w:color="FFFFCC" w:fill="FFFFFF"/>
            <w:noWrap/>
            <w:vAlign w:val="bottom"/>
            <w:hideMark/>
          </w:tcPr>
          <w:p w14:paraId="237F7DF9" w14:textId="77777777" w:rsidR="00BD361D" w:rsidRPr="00BD361D" w:rsidRDefault="00BD361D" w:rsidP="00BD361D">
            <w:pPr>
              <w:spacing w:after="0" w:line="240" w:lineRule="auto"/>
              <w:jc w:val="left"/>
              <w:rPr>
                <w:rFonts w:ascii="Arial" w:eastAsia="Times New Roman" w:hAnsi="Arial" w:cs="Arial"/>
                <w:b/>
                <w:bCs/>
                <w:color w:val="000000"/>
                <w:sz w:val="20"/>
                <w:szCs w:val="20"/>
                <w:lang w:val="en-GB" w:eastAsia="en-GB"/>
              </w:rPr>
            </w:pPr>
          </w:p>
        </w:tc>
        <w:tc>
          <w:tcPr>
            <w:tcW w:w="260" w:type="dxa"/>
            <w:tcBorders>
              <w:top w:val="nil"/>
              <w:left w:val="nil"/>
              <w:bottom w:val="nil"/>
              <w:right w:val="single" w:sz="12" w:space="0" w:color="auto"/>
            </w:tcBorders>
            <w:shd w:val="clear" w:color="FFFFCC" w:fill="FFFFFF"/>
            <w:noWrap/>
            <w:vAlign w:val="bottom"/>
            <w:hideMark/>
          </w:tcPr>
          <w:p w14:paraId="6D107F70" w14:textId="77777777" w:rsidR="00BD361D" w:rsidRPr="00BD361D" w:rsidRDefault="00BD361D" w:rsidP="00BD361D">
            <w:pPr>
              <w:spacing w:after="0" w:line="240" w:lineRule="auto"/>
              <w:jc w:val="left"/>
              <w:rPr>
                <w:rFonts w:ascii="Times New Roman" w:eastAsia="Times New Roman" w:hAnsi="Times New Roman"/>
                <w:sz w:val="20"/>
                <w:szCs w:val="20"/>
                <w:lang w:val="en-GB" w:eastAsia="en-GB"/>
              </w:rPr>
            </w:pPr>
          </w:p>
        </w:tc>
      </w:tr>
      <w:tr w:rsidR="00BD361D" w:rsidRPr="00BD361D" w14:paraId="7EC3F8F9" w14:textId="77777777" w:rsidTr="00654D8C">
        <w:trPr>
          <w:trHeight w:val="90"/>
          <w:jc w:val="center"/>
        </w:trPr>
        <w:tc>
          <w:tcPr>
            <w:tcW w:w="180" w:type="dxa"/>
            <w:tcBorders>
              <w:top w:val="nil"/>
              <w:left w:val="single" w:sz="12" w:space="0" w:color="auto"/>
              <w:bottom w:val="nil"/>
              <w:right w:val="nil"/>
            </w:tcBorders>
            <w:shd w:val="clear" w:color="FFFFCC" w:fill="FFFFFF"/>
            <w:noWrap/>
            <w:vAlign w:val="bottom"/>
            <w:hideMark/>
          </w:tcPr>
          <w:p w14:paraId="6F67B298" w14:textId="77777777" w:rsidR="00BD361D" w:rsidRPr="00BD361D" w:rsidRDefault="00BD361D" w:rsidP="00BD361D">
            <w:pPr>
              <w:spacing w:after="0" w:line="240" w:lineRule="auto"/>
              <w:jc w:val="left"/>
              <w:rPr>
                <w:rFonts w:ascii="Times New Roman" w:eastAsia="Times New Roman" w:hAnsi="Times New Roman"/>
                <w:sz w:val="20"/>
                <w:szCs w:val="20"/>
                <w:lang w:val="en-GB" w:eastAsia="en-GB"/>
              </w:rPr>
            </w:pPr>
          </w:p>
        </w:tc>
        <w:tc>
          <w:tcPr>
            <w:tcW w:w="1140" w:type="dxa"/>
            <w:tcBorders>
              <w:top w:val="nil"/>
              <w:left w:val="nil"/>
              <w:bottom w:val="nil"/>
              <w:right w:val="nil"/>
            </w:tcBorders>
            <w:shd w:val="clear" w:color="FFFFCC" w:fill="FFFFFF"/>
            <w:noWrap/>
            <w:vAlign w:val="bottom"/>
            <w:hideMark/>
          </w:tcPr>
          <w:p w14:paraId="783B5638" w14:textId="77777777" w:rsidR="00BD361D" w:rsidRPr="00BD361D" w:rsidRDefault="00BD361D" w:rsidP="00BD361D">
            <w:pPr>
              <w:spacing w:after="0" w:line="240" w:lineRule="auto"/>
              <w:jc w:val="left"/>
              <w:rPr>
                <w:rFonts w:ascii="Times New Roman" w:eastAsia="Times New Roman" w:hAnsi="Times New Roman"/>
                <w:sz w:val="20"/>
                <w:szCs w:val="20"/>
                <w:lang w:val="en-GB" w:eastAsia="en-GB"/>
              </w:rPr>
            </w:pPr>
          </w:p>
        </w:tc>
        <w:tc>
          <w:tcPr>
            <w:tcW w:w="4340" w:type="dxa"/>
            <w:tcBorders>
              <w:top w:val="nil"/>
              <w:left w:val="nil"/>
              <w:bottom w:val="nil"/>
              <w:right w:val="nil"/>
            </w:tcBorders>
            <w:shd w:val="clear" w:color="FFFFCC" w:fill="FFFFFF"/>
            <w:noWrap/>
            <w:vAlign w:val="bottom"/>
            <w:hideMark/>
          </w:tcPr>
          <w:p w14:paraId="17679CDB" w14:textId="77777777" w:rsidR="00BD361D" w:rsidRPr="00BD361D" w:rsidRDefault="00BD361D" w:rsidP="00BD361D">
            <w:pPr>
              <w:spacing w:after="0" w:line="240" w:lineRule="auto"/>
              <w:jc w:val="left"/>
              <w:rPr>
                <w:rFonts w:ascii="Times New Roman" w:eastAsia="Times New Roman" w:hAnsi="Times New Roman"/>
                <w:sz w:val="20"/>
                <w:szCs w:val="20"/>
                <w:lang w:val="en-GB" w:eastAsia="en-GB"/>
              </w:rPr>
            </w:pPr>
          </w:p>
        </w:tc>
        <w:tc>
          <w:tcPr>
            <w:tcW w:w="260" w:type="dxa"/>
            <w:tcBorders>
              <w:top w:val="nil"/>
              <w:left w:val="nil"/>
              <w:bottom w:val="nil"/>
              <w:right w:val="single" w:sz="12" w:space="0" w:color="auto"/>
            </w:tcBorders>
            <w:shd w:val="clear" w:color="FFFFCC" w:fill="FFFFFF"/>
            <w:noWrap/>
            <w:vAlign w:val="bottom"/>
            <w:hideMark/>
          </w:tcPr>
          <w:p w14:paraId="7CF9306E" w14:textId="77777777" w:rsidR="00BD361D" w:rsidRPr="00BD361D" w:rsidRDefault="00BD361D" w:rsidP="00BD361D">
            <w:pPr>
              <w:spacing w:after="0" w:line="240" w:lineRule="auto"/>
              <w:jc w:val="left"/>
              <w:rPr>
                <w:rFonts w:ascii="Times New Roman" w:eastAsia="Times New Roman" w:hAnsi="Times New Roman"/>
                <w:sz w:val="20"/>
                <w:szCs w:val="20"/>
                <w:lang w:val="en-GB" w:eastAsia="en-GB"/>
              </w:rPr>
            </w:pPr>
          </w:p>
        </w:tc>
      </w:tr>
      <w:tr w:rsidR="00BD361D" w:rsidRPr="00BD361D" w14:paraId="35951FD5" w14:textId="77777777" w:rsidTr="00654D8C">
        <w:trPr>
          <w:trHeight w:val="255"/>
          <w:jc w:val="center"/>
        </w:trPr>
        <w:tc>
          <w:tcPr>
            <w:tcW w:w="180" w:type="dxa"/>
            <w:tcBorders>
              <w:top w:val="nil"/>
              <w:left w:val="single" w:sz="12" w:space="0" w:color="auto"/>
              <w:bottom w:val="nil"/>
              <w:right w:val="nil"/>
            </w:tcBorders>
            <w:shd w:val="clear" w:color="FFFFCC" w:fill="FFFFFF"/>
            <w:noWrap/>
            <w:vAlign w:val="bottom"/>
            <w:hideMark/>
          </w:tcPr>
          <w:p w14:paraId="3F3362F7" w14:textId="77777777" w:rsidR="00BD361D" w:rsidRPr="00BD361D" w:rsidRDefault="00BD361D" w:rsidP="00BD361D">
            <w:pPr>
              <w:spacing w:after="0" w:line="240" w:lineRule="auto"/>
              <w:jc w:val="left"/>
              <w:rPr>
                <w:rFonts w:ascii="Times New Roman" w:eastAsia="Times New Roman" w:hAnsi="Times New Roman"/>
                <w:sz w:val="20"/>
                <w:szCs w:val="20"/>
                <w:lang w:val="en-GB" w:eastAsia="en-GB"/>
              </w:rPr>
            </w:pPr>
          </w:p>
        </w:tc>
        <w:tc>
          <w:tcPr>
            <w:tcW w:w="1140" w:type="dxa"/>
            <w:tcBorders>
              <w:top w:val="nil"/>
              <w:left w:val="nil"/>
              <w:bottom w:val="nil"/>
              <w:right w:val="nil"/>
            </w:tcBorders>
            <w:shd w:val="clear" w:color="FFFFCC" w:fill="B0CC66"/>
            <w:noWrap/>
            <w:vAlign w:val="bottom"/>
            <w:hideMark/>
          </w:tcPr>
          <w:p w14:paraId="316876F9" w14:textId="77777777" w:rsidR="00BD361D" w:rsidRPr="00BD361D" w:rsidRDefault="00BD361D" w:rsidP="00BD361D">
            <w:pPr>
              <w:spacing w:after="0" w:line="240" w:lineRule="auto"/>
              <w:jc w:val="center"/>
              <w:rPr>
                <w:rFonts w:ascii="Arial" w:eastAsia="Times New Roman" w:hAnsi="Arial" w:cs="Arial"/>
                <w:b/>
                <w:bCs/>
                <w:color w:val="375623"/>
                <w:sz w:val="20"/>
                <w:szCs w:val="20"/>
                <w:lang w:val="en-GB" w:eastAsia="en-GB"/>
              </w:rPr>
            </w:pPr>
            <w:r w:rsidRPr="00BD361D">
              <w:rPr>
                <w:rFonts w:ascii="Arial" w:eastAsia="Times New Roman" w:hAnsi="Arial" w:cs="Arial"/>
                <w:b/>
                <w:bCs/>
                <w:color w:val="375623"/>
                <w:sz w:val="20"/>
                <w:szCs w:val="20"/>
                <w:lang w:val="en-GB" w:eastAsia="en-GB"/>
              </w:rPr>
              <w:t>A</w:t>
            </w:r>
          </w:p>
        </w:tc>
        <w:tc>
          <w:tcPr>
            <w:tcW w:w="4340" w:type="dxa"/>
            <w:tcBorders>
              <w:top w:val="nil"/>
              <w:left w:val="nil"/>
              <w:bottom w:val="nil"/>
              <w:right w:val="nil"/>
            </w:tcBorders>
            <w:shd w:val="clear" w:color="FFFFCC" w:fill="FFFFFF"/>
            <w:noWrap/>
            <w:vAlign w:val="bottom"/>
            <w:hideMark/>
          </w:tcPr>
          <w:p w14:paraId="0FA8EEC0" w14:textId="77777777" w:rsidR="00BD361D" w:rsidRPr="00BD361D" w:rsidRDefault="00BD361D" w:rsidP="00BD361D">
            <w:pPr>
              <w:spacing w:after="0" w:line="240" w:lineRule="auto"/>
              <w:jc w:val="left"/>
              <w:rPr>
                <w:rFonts w:ascii="Arial" w:eastAsia="Times New Roman" w:hAnsi="Arial" w:cs="Arial"/>
                <w:b/>
                <w:bCs/>
                <w:color w:val="000000"/>
                <w:sz w:val="20"/>
                <w:szCs w:val="20"/>
                <w:lang w:val="en-GB" w:eastAsia="en-GB"/>
              </w:rPr>
            </w:pPr>
            <w:r w:rsidRPr="00BD361D">
              <w:rPr>
                <w:rFonts w:ascii="Arial" w:eastAsia="Times New Roman" w:hAnsi="Arial" w:cs="Arial"/>
                <w:b/>
                <w:bCs/>
                <w:color w:val="000000"/>
                <w:sz w:val="20"/>
                <w:szCs w:val="20"/>
                <w:lang w:val="en-GB" w:eastAsia="en-GB"/>
              </w:rPr>
              <w:t>Current S167 list</w:t>
            </w:r>
          </w:p>
        </w:tc>
        <w:tc>
          <w:tcPr>
            <w:tcW w:w="260" w:type="dxa"/>
            <w:tcBorders>
              <w:top w:val="nil"/>
              <w:left w:val="nil"/>
              <w:bottom w:val="nil"/>
              <w:right w:val="single" w:sz="12" w:space="0" w:color="auto"/>
            </w:tcBorders>
            <w:shd w:val="clear" w:color="FFFFCC" w:fill="FFFFFF"/>
            <w:noWrap/>
            <w:vAlign w:val="bottom"/>
            <w:hideMark/>
          </w:tcPr>
          <w:p w14:paraId="5EDBE961" w14:textId="77777777" w:rsidR="00BD361D" w:rsidRPr="00BD361D" w:rsidRDefault="00BD361D" w:rsidP="00BD361D">
            <w:pPr>
              <w:spacing w:after="0" w:line="240" w:lineRule="auto"/>
              <w:jc w:val="left"/>
              <w:rPr>
                <w:rFonts w:ascii="Arial" w:eastAsia="Times New Roman" w:hAnsi="Arial" w:cs="Arial"/>
                <w:b/>
                <w:bCs/>
                <w:color w:val="000000"/>
                <w:sz w:val="20"/>
                <w:szCs w:val="20"/>
                <w:lang w:val="en-GB" w:eastAsia="en-GB"/>
              </w:rPr>
            </w:pPr>
          </w:p>
        </w:tc>
      </w:tr>
      <w:tr w:rsidR="00BD361D" w:rsidRPr="00BD361D" w14:paraId="227BF8DD" w14:textId="77777777" w:rsidTr="00654D8C">
        <w:trPr>
          <w:trHeight w:val="255"/>
          <w:jc w:val="center"/>
        </w:trPr>
        <w:tc>
          <w:tcPr>
            <w:tcW w:w="180" w:type="dxa"/>
            <w:tcBorders>
              <w:top w:val="nil"/>
              <w:left w:val="single" w:sz="12" w:space="0" w:color="auto"/>
              <w:bottom w:val="nil"/>
              <w:right w:val="nil"/>
            </w:tcBorders>
            <w:shd w:val="clear" w:color="FFFFCC" w:fill="FFFFFF"/>
            <w:noWrap/>
            <w:vAlign w:val="bottom"/>
            <w:hideMark/>
          </w:tcPr>
          <w:p w14:paraId="34F2EFF1" w14:textId="77777777" w:rsidR="00BD361D" w:rsidRPr="00BD361D" w:rsidRDefault="00BD361D" w:rsidP="00BD361D">
            <w:pPr>
              <w:spacing w:after="0" w:line="240" w:lineRule="auto"/>
              <w:jc w:val="left"/>
              <w:rPr>
                <w:rFonts w:ascii="Times New Roman" w:eastAsia="Times New Roman" w:hAnsi="Times New Roman"/>
                <w:sz w:val="20"/>
                <w:szCs w:val="20"/>
                <w:lang w:val="en-GB" w:eastAsia="en-GB"/>
              </w:rPr>
            </w:pPr>
          </w:p>
        </w:tc>
        <w:tc>
          <w:tcPr>
            <w:tcW w:w="1140" w:type="dxa"/>
            <w:tcBorders>
              <w:top w:val="nil"/>
              <w:left w:val="nil"/>
              <w:bottom w:val="nil"/>
              <w:right w:val="nil"/>
            </w:tcBorders>
            <w:shd w:val="clear" w:color="FFFFCC" w:fill="C1FFC1"/>
            <w:noWrap/>
            <w:vAlign w:val="bottom"/>
            <w:hideMark/>
          </w:tcPr>
          <w:p w14:paraId="66EBC7EA" w14:textId="77777777" w:rsidR="00BD361D" w:rsidRPr="00BD361D" w:rsidRDefault="00BD361D" w:rsidP="00BD361D">
            <w:pPr>
              <w:spacing w:after="0" w:line="240" w:lineRule="auto"/>
              <w:jc w:val="center"/>
              <w:rPr>
                <w:rFonts w:ascii="Arial" w:eastAsia="Times New Roman" w:hAnsi="Arial" w:cs="Arial"/>
                <w:b/>
                <w:bCs/>
                <w:color w:val="375623"/>
                <w:sz w:val="20"/>
                <w:szCs w:val="20"/>
                <w:lang w:val="en-GB" w:eastAsia="en-GB"/>
              </w:rPr>
            </w:pPr>
            <w:r w:rsidRPr="00BD361D">
              <w:rPr>
                <w:rFonts w:ascii="Arial" w:eastAsia="Times New Roman" w:hAnsi="Arial" w:cs="Arial"/>
                <w:b/>
                <w:bCs/>
                <w:color w:val="375623"/>
                <w:sz w:val="20"/>
                <w:szCs w:val="20"/>
                <w:lang w:val="en-GB" w:eastAsia="en-GB"/>
              </w:rPr>
              <w:t>B</w:t>
            </w:r>
          </w:p>
        </w:tc>
        <w:tc>
          <w:tcPr>
            <w:tcW w:w="4340" w:type="dxa"/>
            <w:tcBorders>
              <w:top w:val="nil"/>
              <w:left w:val="nil"/>
              <w:bottom w:val="nil"/>
              <w:right w:val="nil"/>
            </w:tcBorders>
            <w:shd w:val="clear" w:color="FFFFCC" w:fill="FFFFFF"/>
            <w:noWrap/>
            <w:vAlign w:val="bottom"/>
            <w:hideMark/>
          </w:tcPr>
          <w:p w14:paraId="7E615444" w14:textId="77777777" w:rsidR="00BD361D" w:rsidRPr="00BD361D" w:rsidRDefault="00BD361D" w:rsidP="00BD361D">
            <w:pPr>
              <w:spacing w:after="0" w:line="240" w:lineRule="auto"/>
              <w:jc w:val="left"/>
              <w:rPr>
                <w:rFonts w:ascii="Arial" w:eastAsia="Times New Roman" w:hAnsi="Arial" w:cs="Arial"/>
                <w:b/>
                <w:bCs/>
                <w:color w:val="000000"/>
                <w:sz w:val="20"/>
                <w:szCs w:val="20"/>
                <w:lang w:val="en-GB" w:eastAsia="en-GB"/>
              </w:rPr>
            </w:pPr>
            <w:r w:rsidRPr="00BD361D">
              <w:rPr>
                <w:rFonts w:ascii="Arial" w:eastAsia="Times New Roman" w:hAnsi="Arial" w:cs="Arial"/>
                <w:b/>
                <w:bCs/>
                <w:color w:val="000000"/>
                <w:sz w:val="20"/>
                <w:szCs w:val="20"/>
                <w:lang w:val="en-GB" w:eastAsia="en-GB"/>
              </w:rPr>
              <w:t>Producing S167 list this financial year</w:t>
            </w:r>
          </w:p>
        </w:tc>
        <w:tc>
          <w:tcPr>
            <w:tcW w:w="260" w:type="dxa"/>
            <w:tcBorders>
              <w:top w:val="nil"/>
              <w:left w:val="nil"/>
              <w:bottom w:val="nil"/>
              <w:right w:val="single" w:sz="12" w:space="0" w:color="auto"/>
            </w:tcBorders>
            <w:shd w:val="clear" w:color="FFFFCC" w:fill="FFFFFF"/>
            <w:noWrap/>
            <w:vAlign w:val="bottom"/>
            <w:hideMark/>
          </w:tcPr>
          <w:p w14:paraId="76EAA2FF" w14:textId="77777777" w:rsidR="00BD361D" w:rsidRPr="00BD361D" w:rsidRDefault="00BD361D" w:rsidP="00BD361D">
            <w:pPr>
              <w:spacing w:after="0" w:line="240" w:lineRule="auto"/>
              <w:jc w:val="left"/>
              <w:rPr>
                <w:rFonts w:ascii="Arial" w:eastAsia="Times New Roman" w:hAnsi="Arial" w:cs="Arial"/>
                <w:b/>
                <w:bCs/>
                <w:color w:val="000000"/>
                <w:sz w:val="20"/>
                <w:szCs w:val="20"/>
                <w:lang w:val="en-GB" w:eastAsia="en-GB"/>
              </w:rPr>
            </w:pPr>
          </w:p>
        </w:tc>
      </w:tr>
      <w:tr w:rsidR="00BD361D" w:rsidRPr="00BD361D" w14:paraId="76878539" w14:textId="77777777" w:rsidTr="00654D8C">
        <w:trPr>
          <w:trHeight w:val="255"/>
          <w:jc w:val="center"/>
        </w:trPr>
        <w:tc>
          <w:tcPr>
            <w:tcW w:w="180" w:type="dxa"/>
            <w:tcBorders>
              <w:top w:val="nil"/>
              <w:left w:val="single" w:sz="12" w:space="0" w:color="auto"/>
              <w:bottom w:val="nil"/>
              <w:right w:val="nil"/>
            </w:tcBorders>
            <w:shd w:val="clear" w:color="FFFFCC" w:fill="FFFFFF"/>
            <w:noWrap/>
            <w:vAlign w:val="bottom"/>
            <w:hideMark/>
          </w:tcPr>
          <w:p w14:paraId="0907033D" w14:textId="77777777" w:rsidR="00BD361D" w:rsidRPr="00BD361D" w:rsidRDefault="00BD361D" w:rsidP="00BD361D">
            <w:pPr>
              <w:spacing w:after="0" w:line="240" w:lineRule="auto"/>
              <w:jc w:val="left"/>
              <w:rPr>
                <w:rFonts w:ascii="Times New Roman" w:eastAsia="Times New Roman" w:hAnsi="Times New Roman"/>
                <w:sz w:val="20"/>
                <w:szCs w:val="20"/>
                <w:lang w:val="en-GB" w:eastAsia="en-GB"/>
              </w:rPr>
            </w:pPr>
          </w:p>
        </w:tc>
        <w:tc>
          <w:tcPr>
            <w:tcW w:w="1140" w:type="dxa"/>
            <w:tcBorders>
              <w:top w:val="nil"/>
              <w:left w:val="nil"/>
              <w:bottom w:val="nil"/>
              <w:right w:val="nil"/>
            </w:tcBorders>
            <w:shd w:val="clear" w:color="FFFFCC" w:fill="FFFF66"/>
            <w:noWrap/>
            <w:vAlign w:val="bottom"/>
            <w:hideMark/>
          </w:tcPr>
          <w:p w14:paraId="6D14038A" w14:textId="77777777" w:rsidR="00BD361D" w:rsidRPr="00BD361D" w:rsidRDefault="00BD361D" w:rsidP="00BD361D">
            <w:pPr>
              <w:spacing w:after="0" w:line="240" w:lineRule="auto"/>
              <w:jc w:val="center"/>
              <w:rPr>
                <w:rFonts w:ascii="Arial" w:eastAsia="Times New Roman" w:hAnsi="Arial" w:cs="Arial"/>
                <w:b/>
                <w:bCs/>
                <w:color w:val="806000"/>
                <w:sz w:val="20"/>
                <w:szCs w:val="20"/>
                <w:lang w:val="en-GB" w:eastAsia="en-GB"/>
              </w:rPr>
            </w:pPr>
            <w:r w:rsidRPr="00BD361D">
              <w:rPr>
                <w:rFonts w:ascii="Arial" w:eastAsia="Times New Roman" w:hAnsi="Arial" w:cs="Arial"/>
                <w:b/>
                <w:bCs/>
                <w:color w:val="806000"/>
                <w:sz w:val="20"/>
                <w:szCs w:val="20"/>
                <w:lang w:val="en-GB" w:eastAsia="en-GB"/>
              </w:rPr>
              <w:t>C</w:t>
            </w:r>
          </w:p>
        </w:tc>
        <w:tc>
          <w:tcPr>
            <w:tcW w:w="4340" w:type="dxa"/>
            <w:tcBorders>
              <w:top w:val="nil"/>
              <w:left w:val="nil"/>
              <w:bottom w:val="nil"/>
              <w:right w:val="nil"/>
            </w:tcBorders>
            <w:shd w:val="clear" w:color="FFFFCC" w:fill="FFFFFF"/>
            <w:noWrap/>
            <w:vAlign w:val="bottom"/>
            <w:hideMark/>
          </w:tcPr>
          <w:p w14:paraId="33D8B0CE" w14:textId="77777777" w:rsidR="00BD361D" w:rsidRPr="00BD361D" w:rsidRDefault="00BD361D" w:rsidP="00BD361D">
            <w:pPr>
              <w:spacing w:after="0" w:line="240" w:lineRule="auto"/>
              <w:jc w:val="left"/>
              <w:rPr>
                <w:rFonts w:ascii="Arial" w:eastAsia="Times New Roman" w:hAnsi="Arial" w:cs="Arial"/>
                <w:b/>
                <w:bCs/>
                <w:color w:val="000000"/>
                <w:sz w:val="20"/>
                <w:szCs w:val="20"/>
                <w:lang w:val="en-GB" w:eastAsia="en-GB"/>
              </w:rPr>
            </w:pPr>
            <w:r w:rsidRPr="00BD361D">
              <w:rPr>
                <w:rFonts w:ascii="Arial" w:eastAsia="Times New Roman" w:hAnsi="Arial" w:cs="Arial"/>
                <w:b/>
                <w:bCs/>
                <w:color w:val="000000"/>
                <w:sz w:val="20"/>
                <w:szCs w:val="20"/>
                <w:lang w:val="en-GB" w:eastAsia="en-GB"/>
              </w:rPr>
              <w:t>Producing S167 list but no clear deadline</w:t>
            </w:r>
          </w:p>
        </w:tc>
        <w:tc>
          <w:tcPr>
            <w:tcW w:w="260" w:type="dxa"/>
            <w:tcBorders>
              <w:top w:val="nil"/>
              <w:left w:val="nil"/>
              <w:bottom w:val="nil"/>
              <w:right w:val="single" w:sz="12" w:space="0" w:color="auto"/>
            </w:tcBorders>
            <w:shd w:val="clear" w:color="FFFFCC" w:fill="FFFFFF"/>
            <w:noWrap/>
            <w:vAlign w:val="bottom"/>
            <w:hideMark/>
          </w:tcPr>
          <w:p w14:paraId="1B03A96D" w14:textId="77777777" w:rsidR="00BD361D" w:rsidRPr="00BD361D" w:rsidRDefault="00BD361D" w:rsidP="00BD361D">
            <w:pPr>
              <w:spacing w:after="0" w:line="240" w:lineRule="auto"/>
              <w:jc w:val="left"/>
              <w:rPr>
                <w:rFonts w:ascii="Arial" w:eastAsia="Times New Roman" w:hAnsi="Arial" w:cs="Arial"/>
                <w:b/>
                <w:bCs/>
                <w:color w:val="000000"/>
                <w:sz w:val="20"/>
                <w:szCs w:val="20"/>
                <w:lang w:val="en-GB" w:eastAsia="en-GB"/>
              </w:rPr>
            </w:pPr>
          </w:p>
        </w:tc>
      </w:tr>
      <w:tr w:rsidR="00BD361D" w:rsidRPr="00BD361D" w14:paraId="183DA2A2" w14:textId="77777777" w:rsidTr="00654D8C">
        <w:trPr>
          <w:trHeight w:val="255"/>
          <w:jc w:val="center"/>
        </w:trPr>
        <w:tc>
          <w:tcPr>
            <w:tcW w:w="180" w:type="dxa"/>
            <w:tcBorders>
              <w:top w:val="nil"/>
              <w:left w:val="single" w:sz="12" w:space="0" w:color="auto"/>
              <w:bottom w:val="nil"/>
              <w:right w:val="nil"/>
            </w:tcBorders>
            <w:shd w:val="clear" w:color="FFFFCC" w:fill="FFFFFF"/>
            <w:noWrap/>
            <w:vAlign w:val="bottom"/>
            <w:hideMark/>
          </w:tcPr>
          <w:p w14:paraId="480ED89D" w14:textId="77777777" w:rsidR="00BD361D" w:rsidRPr="00BD361D" w:rsidRDefault="00BD361D" w:rsidP="00BD361D">
            <w:pPr>
              <w:spacing w:after="0" w:line="240" w:lineRule="auto"/>
              <w:jc w:val="left"/>
              <w:rPr>
                <w:rFonts w:ascii="Times New Roman" w:eastAsia="Times New Roman" w:hAnsi="Times New Roman"/>
                <w:sz w:val="20"/>
                <w:szCs w:val="20"/>
                <w:lang w:val="en-GB" w:eastAsia="en-GB"/>
              </w:rPr>
            </w:pPr>
          </w:p>
        </w:tc>
        <w:tc>
          <w:tcPr>
            <w:tcW w:w="1140" w:type="dxa"/>
            <w:tcBorders>
              <w:top w:val="nil"/>
              <w:left w:val="nil"/>
              <w:bottom w:val="nil"/>
              <w:right w:val="nil"/>
            </w:tcBorders>
            <w:shd w:val="clear" w:color="FFFFCC" w:fill="FFC267"/>
            <w:noWrap/>
            <w:vAlign w:val="bottom"/>
            <w:hideMark/>
          </w:tcPr>
          <w:p w14:paraId="7C98D114" w14:textId="77777777" w:rsidR="00BD361D" w:rsidRPr="00BD361D" w:rsidRDefault="00BD361D" w:rsidP="00BD361D">
            <w:pPr>
              <w:spacing w:after="0" w:line="240" w:lineRule="auto"/>
              <w:jc w:val="center"/>
              <w:rPr>
                <w:rFonts w:ascii="Arial" w:eastAsia="Times New Roman" w:hAnsi="Arial" w:cs="Arial"/>
                <w:b/>
                <w:bCs/>
                <w:color w:val="833C0C"/>
                <w:sz w:val="20"/>
                <w:szCs w:val="20"/>
                <w:lang w:val="en-GB" w:eastAsia="en-GB"/>
              </w:rPr>
            </w:pPr>
            <w:r w:rsidRPr="00BD361D">
              <w:rPr>
                <w:rFonts w:ascii="Arial" w:eastAsia="Times New Roman" w:hAnsi="Arial" w:cs="Arial"/>
                <w:b/>
                <w:bCs/>
                <w:color w:val="833C0C"/>
                <w:sz w:val="20"/>
                <w:szCs w:val="20"/>
                <w:lang w:val="en-GB" w:eastAsia="en-GB"/>
              </w:rPr>
              <w:t>D</w:t>
            </w:r>
          </w:p>
        </w:tc>
        <w:tc>
          <w:tcPr>
            <w:tcW w:w="4340" w:type="dxa"/>
            <w:tcBorders>
              <w:top w:val="nil"/>
              <w:left w:val="nil"/>
              <w:bottom w:val="nil"/>
              <w:right w:val="nil"/>
            </w:tcBorders>
            <w:shd w:val="clear" w:color="FFFFCC" w:fill="FFFFFF"/>
            <w:noWrap/>
            <w:vAlign w:val="bottom"/>
            <w:hideMark/>
          </w:tcPr>
          <w:p w14:paraId="0D99E880" w14:textId="77777777" w:rsidR="00BD361D" w:rsidRPr="00BD361D" w:rsidRDefault="00BD361D" w:rsidP="00BD361D">
            <w:pPr>
              <w:spacing w:after="0" w:line="240" w:lineRule="auto"/>
              <w:jc w:val="left"/>
              <w:rPr>
                <w:rFonts w:ascii="Arial" w:eastAsia="Times New Roman" w:hAnsi="Arial" w:cs="Arial"/>
                <w:b/>
                <w:bCs/>
                <w:color w:val="000000"/>
                <w:sz w:val="20"/>
                <w:szCs w:val="20"/>
                <w:lang w:val="en-GB" w:eastAsia="en-GB"/>
              </w:rPr>
            </w:pPr>
            <w:r w:rsidRPr="00BD361D">
              <w:rPr>
                <w:rFonts w:ascii="Arial" w:eastAsia="Times New Roman" w:hAnsi="Arial" w:cs="Arial"/>
                <w:b/>
                <w:bCs/>
                <w:color w:val="000000"/>
                <w:sz w:val="20"/>
                <w:szCs w:val="20"/>
                <w:lang w:val="en-GB" w:eastAsia="en-GB"/>
              </w:rPr>
              <w:t>Undecided whether producing S167 list</w:t>
            </w:r>
          </w:p>
        </w:tc>
        <w:tc>
          <w:tcPr>
            <w:tcW w:w="260" w:type="dxa"/>
            <w:tcBorders>
              <w:top w:val="nil"/>
              <w:left w:val="nil"/>
              <w:bottom w:val="nil"/>
              <w:right w:val="single" w:sz="12" w:space="0" w:color="auto"/>
            </w:tcBorders>
            <w:shd w:val="clear" w:color="FFFFCC" w:fill="FFFFFF"/>
            <w:noWrap/>
            <w:vAlign w:val="bottom"/>
            <w:hideMark/>
          </w:tcPr>
          <w:p w14:paraId="64793045" w14:textId="77777777" w:rsidR="00BD361D" w:rsidRPr="00BD361D" w:rsidRDefault="00BD361D" w:rsidP="00BD361D">
            <w:pPr>
              <w:spacing w:after="0" w:line="240" w:lineRule="auto"/>
              <w:jc w:val="left"/>
              <w:rPr>
                <w:rFonts w:ascii="Arial" w:eastAsia="Times New Roman" w:hAnsi="Arial" w:cs="Arial"/>
                <w:b/>
                <w:bCs/>
                <w:color w:val="000000"/>
                <w:sz w:val="20"/>
                <w:szCs w:val="20"/>
                <w:lang w:val="en-GB" w:eastAsia="en-GB"/>
              </w:rPr>
            </w:pPr>
          </w:p>
        </w:tc>
      </w:tr>
      <w:tr w:rsidR="00BD361D" w:rsidRPr="00BD361D" w14:paraId="57744EA2" w14:textId="77777777" w:rsidTr="00654D8C">
        <w:trPr>
          <w:trHeight w:val="255"/>
          <w:jc w:val="center"/>
        </w:trPr>
        <w:tc>
          <w:tcPr>
            <w:tcW w:w="180" w:type="dxa"/>
            <w:tcBorders>
              <w:top w:val="nil"/>
              <w:left w:val="single" w:sz="12" w:space="0" w:color="auto"/>
              <w:bottom w:val="nil"/>
              <w:right w:val="nil"/>
            </w:tcBorders>
            <w:shd w:val="clear" w:color="FFFFCC" w:fill="FFFFFF"/>
            <w:noWrap/>
            <w:vAlign w:val="bottom"/>
            <w:hideMark/>
          </w:tcPr>
          <w:p w14:paraId="0F94D2FB" w14:textId="77777777" w:rsidR="00BD361D" w:rsidRPr="00BD361D" w:rsidRDefault="00BD361D" w:rsidP="00BD361D">
            <w:pPr>
              <w:spacing w:after="0" w:line="240" w:lineRule="auto"/>
              <w:jc w:val="left"/>
              <w:rPr>
                <w:rFonts w:ascii="Times New Roman" w:eastAsia="Times New Roman" w:hAnsi="Times New Roman"/>
                <w:sz w:val="20"/>
                <w:szCs w:val="20"/>
                <w:lang w:val="en-GB" w:eastAsia="en-GB"/>
              </w:rPr>
            </w:pPr>
          </w:p>
        </w:tc>
        <w:tc>
          <w:tcPr>
            <w:tcW w:w="1140" w:type="dxa"/>
            <w:tcBorders>
              <w:top w:val="nil"/>
              <w:left w:val="nil"/>
              <w:bottom w:val="nil"/>
              <w:right w:val="nil"/>
            </w:tcBorders>
            <w:shd w:val="clear" w:color="FFFFCC" w:fill="FE7966"/>
            <w:noWrap/>
            <w:vAlign w:val="bottom"/>
            <w:hideMark/>
          </w:tcPr>
          <w:p w14:paraId="5B6EAE84" w14:textId="77777777" w:rsidR="00BD361D" w:rsidRPr="00BD361D" w:rsidRDefault="00BD361D" w:rsidP="00BD361D">
            <w:pPr>
              <w:spacing w:after="0" w:line="240" w:lineRule="auto"/>
              <w:jc w:val="center"/>
              <w:rPr>
                <w:rFonts w:ascii="Arial" w:eastAsia="Times New Roman" w:hAnsi="Arial" w:cs="Arial"/>
                <w:b/>
                <w:bCs/>
                <w:color w:val="161616"/>
                <w:sz w:val="20"/>
                <w:szCs w:val="20"/>
                <w:lang w:val="en-GB" w:eastAsia="en-GB"/>
              </w:rPr>
            </w:pPr>
            <w:r w:rsidRPr="00BD361D">
              <w:rPr>
                <w:rFonts w:ascii="Arial" w:eastAsia="Times New Roman" w:hAnsi="Arial" w:cs="Arial"/>
                <w:b/>
                <w:bCs/>
                <w:color w:val="161616"/>
                <w:sz w:val="20"/>
                <w:szCs w:val="20"/>
                <w:lang w:val="en-GB" w:eastAsia="en-GB"/>
              </w:rPr>
              <w:t>E</w:t>
            </w:r>
          </w:p>
        </w:tc>
        <w:tc>
          <w:tcPr>
            <w:tcW w:w="4340" w:type="dxa"/>
            <w:tcBorders>
              <w:top w:val="nil"/>
              <w:left w:val="nil"/>
              <w:bottom w:val="nil"/>
              <w:right w:val="nil"/>
            </w:tcBorders>
            <w:shd w:val="clear" w:color="FFFFCC" w:fill="FFFFFF"/>
            <w:noWrap/>
            <w:vAlign w:val="bottom"/>
            <w:hideMark/>
          </w:tcPr>
          <w:p w14:paraId="4029D4CC" w14:textId="77777777" w:rsidR="00BD361D" w:rsidRPr="00BD361D" w:rsidRDefault="00BD361D" w:rsidP="00BD361D">
            <w:pPr>
              <w:spacing w:after="0" w:line="240" w:lineRule="auto"/>
              <w:jc w:val="left"/>
              <w:rPr>
                <w:rFonts w:ascii="Arial" w:eastAsia="Times New Roman" w:hAnsi="Arial" w:cs="Arial"/>
                <w:b/>
                <w:bCs/>
                <w:color w:val="000000"/>
                <w:sz w:val="20"/>
                <w:szCs w:val="20"/>
                <w:lang w:val="en-GB" w:eastAsia="en-GB"/>
              </w:rPr>
            </w:pPr>
            <w:r w:rsidRPr="00BD361D">
              <w:rPr>
                <w:rFonts w:ascii="Arial" w:eastAsia="Times New Roman" w:hAnsi="Arial" w:cs="Arial"/>
                <w:b/>
                <w:bCs/>
                <w:color w:val="000000"/>
                <w:sz w:val="20"/>
                <w:szCs w:val="20"/>
                <w:lang w:val="en-GB" w:eastAsia="en-GB"/>
              </w:rPr>
              <w:t>No current plans to produce S167 list</w:t>
            </w:r>
          </w:p>
        </w:tc>
        <w:tc>
          <w:tcPr>
            <w:tcW w:w="260" w:type="dxa"/>
            <w:tcBorders>
              <w:top w:val="nil"/>
              <w:left w:val="nil"/>
              <w:bottom w:val="nil"/>
              <w:right w:val="single" w:sz="12" w:space="0" w:color="auto"/>
            </w:tcBorders>
            <w:shd w:val="clear" w:color="FFFFCC" w:fill="FFFFFF"/>
            <w:noWrap/>
            <w:vAlign w:val="bottom"/>
            <w:hideMark/>
          </w:tcPr>
          <w:p w14:paraId="1FD55D98" w14:textId="77777777" w:rsidR="00BD361D" w:rsidRPr="00BD361D" w:rsidRDefault="00BD361D" w:rsidP="00BD361D">
            <w:pPr>
              <w:spacing w:after="0" w:line="240" w:lineRule="auto"/>
              <w:jc w:val="left"/>
              <w:rPr>
                <w:rFonts w:ascii="Arial" w:eastAsia="Times New Roman" w:hAnsi="Arial" w:cs="Arial"/>
                <w:b/>
                <w:bCs/>
                <w:color w:val="000000"/>
                <w:sz w:val="20"/>
                <w:szCs w:val="20"/>
                <w:lang w:val="en-GB" w:eastAsia="en-GB"/>
              </w:rPr>
            </w:pPr>
          </w:p>
        </w:tc>
      </w:tr>
      <w:tr w:rsidR="00BD361D" w:rsidRPr="00BD361D" w14:paraId="35038123" w14:textId="77777777" w:rsidTr="00654D8C">
        <w:trPr>
          <w:trHeight w:val="135"/>
          <w:jc w:val="center"/>
        </w:trPr>
        <w:tc>
          <w:tcPr>
            <w:tcW w:w="180" w:type="dxa"/>
            <w:tcBorders>
              <w:top w:val="nil"/>
              <w:left w:val="single" w:sz="12" w:space="0" w:color="auto"/>
              <w:bottom w:val="single" w:sz="12" w:space="0" w:color="auto"/>
              <w:right w:val="nil"/>
            </w:tcBorders>
            <w:shd w:val="clear" w:color="FFFFCC" w:fill="FFFFFF"/>
            <w:noWrap/>
            <w:vAlign w:val="bottom"/>
            <w:hideMark/>
          </w:tcPr>
          <w:p w14:paraId="23F98275" w14:textId="77777777" w:rsidR="00BD361D" w:rsidRPr="00BD361D" w:rsidRDefault="00BD361D" w:rsidP="00BD361D">
            <w:pPr>
              <w:spacing w:after="0" w:line="240" w:lineRule="auto"/>
              <w:jc w:val="left"/>
              <w:rPr>
                <w:rFonts w:ascii="Times New Roman" w:eastAsia="Times New Roman" w:hAnsi="Times New Roman"/>
                <w:sz w:val="20"/>
                <w:szCs w:val="20"/>
                <w:lang w:val="en-GB" w:eastAsia="en-GB"/>
              </w:rPr>
            </w:pPr>
          </w:p>
        </w:tc>
        <w:tc>
          <w:tcPr>
            <w:tcW w:w="1140" w:type="dxa"/>
            <w:tcBorders>
              <w:top w:val="nil"/>
              <w:left w:val="nil"/>
              <w:bottom w:val="single" w:sz="12" w:space="0" w:color="auto"/>
              <w:right w:val="nil"/>
            </w:tcBorders>
            <w:shd w:val="clear" w:color="FFFFCC" w:fill="FFFFFF"/>
            <w:noWrap/>
            <w:vAlign w:val="bottom"/>
            <w:hideMark/>
          </w:tcPr>
          <w:p w14:paraId="360E81AB" w14:textId="77777777" w:rsidR="00BD361D" w:rsidRPr="00BD361D" w:rsidRDefault="00BD361D" w:rsidP="00BD361D">
            <w:pPr>
              <w:spacing w:after="0" w:line="240" w:lineRule="auto"/>
              <w:jc w:val="left"/>
              <w:rPr>
                <w:rFonts w:ascii="Times New Roman" w:eastAsia="Times New Roman" w:hAnsi="Times New Roman"/>
                <w:sz w:val="20"/>
                <w:szCs w:val="20"/>
                <w:lang w:val="en-GB" w:eastAsia="en-GB"/>
              </w:rPr>
            </w:pPr>
          </w:p>
        </w:tc>
        <w:tc>
          <w:tcPr>
            <w:tcW w:w="4340" w:type="dxa"/>
            <w:tcBorders>
              <w:top w:val="nil"/>
              <w:left w:val="nil"/>
              <w:bottom w:val="single" w:sz="12" w:space="0" w:color="auto"/>
              <w:right w:val="nil"/>
            </w:tcBorders>
            <w:shd w:val="clear" w:color="FFFFCC" w:fill="FFFFFF"/>
            <w:noWrap/>
            <w:vAlign w:val="bottom"/>
            <w:hideMark/>
          </w:tcPr>
          <w:p w14:paraId="65915BAE" w14:textId="77777777" w:rsidR="00BD361D" w:rsidRPr="00BD361D" w:rsidRDefault="00BD361D" w:rsidP="00BD361D">
            <w:pPr>
              <w:spacing w:after="0" w:line="240" w:lineRule="auto"/>
              <w:jc w:val="left"/>
              <w:rPr>
                <w:rFonts w:ascii="Times New Roman" w:eastAsia="Times New Roman" w:hAnsi="Times New Roman"/>
                <w:sz w:val="20"/>
                <w:szCs w:val="20"/>
                <w:lang w:val="en-GB" w:eastAsia="en-GB"/>
              </w:rPr>
            </w:pPr>
          </w:p>
        </w:tc>
        <w:tc>
          <w:tcPr>
            <w:tcW w:w="260" w:type="dxa"/>
            <w:tcBorders>
              <w:top w:val="nil"/>
              <w:left w:val="nil"/>
              <w:bottom w:val="single" w:sz="12" w:space="0" w:color="auto"/>
              <w:right w:val="single" w:sz="12" w:space="0" w:color="auto"/>
            </w:tcBorders>
            <w:shd w:val="clear" w:color="FFFFCC" w:fill="FFFFFF"/>
            <w:noWrap/>
            <w:vAlign w:val="bottom"/>
            <w:hideMark/>
          </w:tcPr>
          <w:p w14:paraId="147704E5" w14:textId="77777777" w:rsidR="00BD361D" w:rsidRPr="00BD361D" w:rsidRDefault="00BD361D" w:rsidP="00027D8F">
            <w:pPr>
              <w:keepNext/>
              <w:spacing w:after="0" w:line="240" w:lineRule="auto"/>
              <w:jc w:val="left"/>
              <w:rPr>
                <w:rFonts w:ascii="Times New Roman" w:eastAsia="Times New Roman" w:hAnsi="Times New Roman"/>
                <w:sz w:val="20"/>
                <w:szCs w:val="20"/>
                <w:lang w:val="en-GB" w:eastAsia="en-GB"/>
              </w:rPr>
            </w:pPr>
          </w:p>
        </w:tc>
      </w:tr>
    </w:tbl>
    <w:p w14:paraId="45BB4F80" w14:textId="4D422EFF" w:rsidR="00335219" w:rsidRDefault="00027D8F" w:rsidP="00335219">
      <w:pPr>
        <w:pStyle w:val="Caption"/>
        <w:sectPr w:rsidR="00335219" w:rsidSect="00470380">
          <w:footnotePr>
            <w:pos w:val="beneathText"/>
          </w:footnotePr>
          <w:pgSz w:w="11907" w:h="16840" w:code="9"/>
          <w:pgMar w:top="1440" w:right="1440" w:bottom="1440" w:left="1440" w:header="709" w:footer="654" w:gutter="0"/>
          <w:cols w:space="720"/>
          <w:noEndnote/>
          <w:titlePg/>
          <w:docGrid w:linePitch="360"/>
        </w:sectPr>
      </w:pPr>
      <w:bookmarkStart w:id="81" w:name="_Toc488087942"/>
      <w:bookmarkStart w:id="82" w:name="_Toc488087988"/>
      <w:bookmarkStart w:id="83" w:name="_Toc512556852"/>
      <w:r>
        <w:t xml:space="preserve">Figure </w:t>
      </w:r>
      <w:r>
        <w:fldChar w:fldCharType="begin"/>
      </w:r>
      <w:r>
        <w:instrText xml:space="preserve"> SEQ Figure \* ARABIC </w:instrText>
      </w:r>
      <w:r>
        <w:fldChar w:fldCharType="separate"/>
      </w:r>
      <w:r w:rsidR="0099156B">
        <w:rPr>
          <w:noProof/>
        </w:rPr>
        <w:t>3</w:t>
      </w:r>
      <w:r>
        <w:fldChar w:fldCharType="end"/>
      </w:r>
      <w:r>
        <w:t xml:space="preserve"> – GB S167 grad</w:t>
      </w:r>
      <w:bookmarkEnd w:id="81"/>
      <w:bookmarkEnd w:id="82"/>
      <w:r w:rsidR="000573F2">
        <w:t>e</w:t>
      </w:r>
      <w:bookmarkEnd w:id="83"/>
    </w:p>
    <w:p w14:paraId="34A07C16" w14:textId="7D950554" w:rsidR="00F75A76" w:rsidRDefault="00F75A76" w:rsidP="00F75A76">
      <w:pPr>
        <w:keepNext/>
        <w:jc w:val="center"/>
      </w:pPr>
      <w:r>
        <w:rPr>
          <w:noProof/>
        </w:rPr>
        <w:lastRenderedPageBreak/>
        <w:drawing>
          <wp:inline distT="0" distB="0" distL="0" distR="0" wp14:anchorId="7B1D6390" wp14:editId="00ABEE4B">
            <wp:extent cx="6740204" cy="9515475"/>
            <wp:effectExtent l="0" t="0" r="381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785655" cy="9579641"/>
                    </a:xfrm>
                    <a:prstGeom prst="rect">
                      <a:avLst/>
                    </a:prstGeom>
                    <a:noFill/>
                  </pic:spPr>
                </pic:pic>
              </a:graphicData>
            </a:graphic>
          </wp:inline>
        </w:drawing>
      </w:r>
    </w:p>
    <w:p w14:paraId="0BC52925" w14:textId="79A4DB94" w:rsidR="00F75A76" w:rsidRDefault="00F75A76" w:rsidP="00335219">
      <w:pPr>
        <w:pStyle w:val="Caption"/>
        <w:sectPr w:rsidR="00F75A76" w:rsidSect="0080636E">
          <w:footnotePr>
            <w:pos w:val="beneathText"/>
          </w:footnotePr>
          <w:pgSz w:w="11907" w:h="16840" w:code="9"/>
          <w:pgMar w:top="567" w:right="425" w:bottom="567" w:left="425" w:header="426" w:footer="85" w:gutter="0"/>
          <w:cols w:space="720"/>
          <w:noEndnote/>
          <w:titlePg/>
          <w:docGrid w:linePitch="360"/>
        </w:sectPr>
      </w:pPr>
      <w:bookmarkStart w:id="84" w:name="_Toc512556845"/>
      <w:r>
        <w:t xml:space="preserve">Map  </w:t>
      </w:r>
      <w:r>
        <w:fldChar w:fldCharType="begin"/>
      </w:r>
      <w:r>
        <w:instrText xml:space="preserve"> SEQ Map_ \* ARABIC </w:instrText>
      </w:r>
      <w:r>
        <w:fldChar w:fldCharType="separate"/>
      </w:r>
      <w:r w:rsidR="0099156B">
        <w:rPr>
          <w:noProof/>
        </w:rPr>
        <w:t>2</w:t>
      </w:r>
      <w:r>
        <w:fldChar w:fldCharType="end"/>
      </w:r>
      <w:r>
        <w:t xml:space="preserve"> – S167 grades</w:t>
      </w:r>
      <w:bookmarkEnd w:id="84"/>
    </w:p>
    <w:tbl>
      <w:tblPr>
        <w:tblW w:w="8240" w:type="dxa"/>
        <w:jc w:val="center"/>
        <w:tblCellMar>
          <w:top w:w="15" w:type="dxa"/>
          <w:bottom w:w="15" w:type="dxa"/>
        </w:tblCellMar>
        <w:tblLook w:val="04A0" w:firstRow="1" w:lastRow="0" w:firstColumn="1" w:lastColumn="0" w:noHBand="0" w:noVBand="1"/>
      </w:tblPr>
      <w:tblGrid>
        <w:gridCol w:w="3040"/>
        <w:gridCol w:w="2240"/>
        <w:gridCol w:w="2960"/>
      </w:tblGrid>
      <w:tr w:rsidR="00BD361D" w:rsidRPr="00BD361D" w14:paraId="7434A966" w14:textId="77777777" w:rsidTr="00845FAD">
        <w:trPr>
          <w:trHeight w:val="255"/>
          <w:jc w:val="center"/>
        </w:trPr>
        <w:tc>
          <w:tcPr>
            <w:tcW w:w="3040" w:type="dxa"/>
            <w:tcBorders>
              <w:top w:val="single" w:sz="12" w:space="0" w:color="auto"/>
              <w:left w:val="single" w:sz="12" w:space="0" w:color="auto"/>
              <w:bottom w:val="single" w:sz="8" w:space="0" w:color="A5A5A5"/>
              <w:right w:val="single" w:sz="4" w:space="0" w:color="A5A5A5"/>
            </w:tcBorders>
            <w:noWrap/>
            <w:vAlign w:val="bottom"/>
            <w:hideMark/>
          </w:tcPr>
          <w:p w14:paraId="032495DB" w14:textId="77777777" w:rsidR="00BD361D" w:rsidRPr="00BD361D" w:rsidRDefault="00BD361D" w:rsidP="00BD361D">
            <w:pPr>
              <w:spacing w:after="0" w:line="240" w:lineRule="auto"/>
              <w:jc w:val="center"/>
              <w:rPr>
                <w:rFonts w:ascii="Arial" w:eastAsia="Times New Roman" w:hAnsi="Arial" w:cs="Arial"/>
                <w:b/>
                <w:bCs/>
                <w:color w:val="000000"/>
                <w:sz w:val="20"/>
                <w:szCs w:val="20"/>
                <w:lang w:val="en-GB" w:eastAsia="en-GB"/>
              </w:rPr>
            </w:pPr>
            <w:r w:rsidRPr="00BD361D">
              <w:rPr>
                <w:rFonts w:ascii="Arial" w:eastAsia="Times New Roman" w:hAnsi="Arial" w:cs="Arial"/>
                <w:b/>
                <w:bCs/>
                <w:color w:val="000000"/>
                <w:sz w:val="20"/>
                <w:szCs w:val="20"/>
                <w:lang w:val="en-GB" w:eastAsia="en-GB"/>
              </w:rPr>
              <w:lastRenderedPageBreak/>
              <w:t>S167 status</w:t>
            </w:r>
          </w:p>
        </w:tc>
        <w:tc>
          <w:tcPr>
            <w:tcW w:w="2240" w:type="dxa"/>
            <w:tcBorders>
              <w:top w:val="single" w:sz="12" w:space="0" w:color="auto"/>
              <w:left w:val="nil"/>
              <w:bottom w:val="single" w:sz="8" w:space="0" w:color="A5A5A5"/>
              <w:right w:val="nil"/>
            </w:tcBorders>
            <w:shd w:val="clear" w:color="FFFFCC" w:fill="FFFFFF"/>
            <w:noWrap/>
            <w:vAlign w:val="bottom"/>
            <w:hideMark/>
          </w:tcPr>
          <w:p w14:paraId="2D95B000" w14:textId="77777777" w:rsidR="00BD361D" w:rsidRPr="00BD361D" w:rsidRDefault="00BD361D" w:rsidP="00BD361D">
            <w:pPr>
              <w:spacing w:after="0" w:line="240" w:lineRule="auto"/>
              <w:jc w:val="center"/>
              <w:rPr>
                <w:rFonts w:ascii="Arial" w:eastAsia="Times New Roman" w:hAnsi="Arial" w:cs="Arial"/>
                <w:b/>
                <w:bCs/>
                <w:color w:val="000000"/>
                <w:sz w:val="20"/>
                <w:szCs w:val="20"/>
                <w:lang w:val="en-GB" w:eastAsia="en-GB"/>
              </w:rPr>
            </w:pPr>
            <w:r w:rsidRPr="00BD361D">
              <w:rPr>
                <w:rFonts w:ascii="Arial" w:eastAsia="Times New Roman" w:hAnsi="Arial" w:cs="Arial"/>
                <w:b/>
                <w:bCs/>
                <w:color w:val="000000"/>
                <w:sz w:val="20"/>
                <w:szCs w:val="20"/>
                <w:lang w:val="en-GB" w:eastAsia="en-GB"/>
              </w:rPr>
              <w:t># Authorities</w:t>
            </w:r>
          </w:p>
        </w:tc>
        <w:tc>
          <w:tcPr>
            <w:tcW w:w="2960" w:type="dxa"/>
            <w:tcBorders>
              <w:top w:val="single" w:sz="12" w:space="0" w:color="auto"/>
              <w:left w:val="nil"/>
              <w:bottom w:val="single" w:sz="8" w:space="0" w:color="A5A5A5"/>
              <w:right w:val="single" w:sz="12" w:space="0" w:color="auto"/>
            </w:tcBorders>
            <w:noWrap/>
            <w:vAlign w:val="bottom"/>
            <w:hideMark/>
          </w:tcPr>
          <w:p w14:paraId="628DC7BE" w14:textId="77777777" w:rsidR="00BD361D" w:rsidRPr="00BD361D" w:rsidRDefault="00BD361D" w:rsidP="00BD361D">
            <w:pPr>
              <w:spacing w:after="0" w:line="240" w:lineRule="auto"/>
              <w:jc w:val="center"/>
              <w:rPr>
                <w:rFonts w:ascii="Arial" w:eastAsia="Times New Roman" w:hAnsi="Arial" w:cs="Arial"/>
                <w:b/>
                <w:bCs/>
                <w:color w:val="000000"/>
                <w:sz w:val="20"/>
                <w:szCs w:val="20"/>
                <w:lang w:val="en-GB" w:eastAsia="en-GB"/>
              </w:rPr>
            </w:pPr>
            <w:r w:rsidRPr="00BD361D">
              <w:rPr>
                <w:rFonts w:ascii="Arial" w:eastAsia="Times New Roman" w:hAnsi="Arial" w:cs="Arial"/>
                <w:b/>
                <w:bCs/>
                <w:color w:val="000000"/>
                <w:sz w:val="20"/>
                <w:szCs w:val="20"/>
                <w:lang w:val="en-GB" w:eastAsia="en-GB"/>
              </w:rPr>
              <w:t>% Authorities</w:t>
            </w:r>
          </w:p>
        </w:tc>
      </w:tr>
      <w:tr w:rsidR="00F75A76" w:rsidRPr="00BD361D" w14:paraId="09AEA9F4" w14:textId="77777777" w:rsidTr="00845FAD">
        <w:trPr>
          <w:trHeight w:val="255"/>
          <w:jc w:val="center"/>
        </w:trPr>
        <w:tc>
          <w:tcPr>
            <w:tcW w:w="3040" w:type="dxa"/>
            <w:tcBorders>
              <w:top w:val="single" w:sz="4" w:space="0" w:color="DBDBDB"/>
              <w:left w:val="single" w:sz="12" w:space="0" w:color="auto"/>
              <w:bottom w:val="single" w:sz="4" w:space="0" w:color="DBDBDB"/>
              <w:right w:val="single" w:sz="4" w:space="0" w:color="A5A5A5"/>
            </w:tcBorders>
            <w:shd w:val="clear" w:color="000000" w:fill="B0CC66"/>
            <w:noWrap/>
            <w:vAlign w:val="bottom"/>
            <w:hideMark/>
          </w:tcPr>
          <w:p w14:paraId="2353A50B" w14:textId="77777777" w:rsidR="00F75A76" w:rsidRPr="00BD361D" w:rsidRDefault="00F75A76" w:rsidP="00F75A76">
            <w:pPr>
              <w:spacing w:after="0" w:line="240" w:lineRule="auto"/>
              <w:jc w:val="center"/>
              <w:rPr>
                <w:rFonts w:ascii="Arial" w:eastAsia="Times New Roman" w:hAnsi="Arial" w:cs="Arial"/>
                <w:b/>
                <w:bCs/>
                <w:color w:val="375623"/>
                <w:sz w:val="20"/>
                <w:szCs w:val="20"/>
                <w:lang w:val="en-GB" w:eastAsia="en-GB"/>
              </w:rPr>
            </w:pPr>
            <w:r w:rsidRPr="00BD361D">
              <w:rPr>
                <w:rFonts w:ascii="Arial" w:eastAsia="Times New Roman" w:hAnsi="Arial" w:cs="Arial"/>
                <w:b/>
                <w:bCs/>
                <w:color w:val="375623"/>
                <w:sz w:val="20"/>
                <w:szCs w:val="20"/>
                <w:lang w:val="en-GB" w:eastAsia="en-GB"/>
              </w:rPr>
              <w:t>A</w:t>
            </w:r>
          </w:p>
        </w:tc>
        <w:tc>
          <w:tcPr>
            <w:tcW w:w="2240" w:type="dxa"/>
            <w:tcBorders>
              <w:top w:val="single" w:sz="4" w:space="0" w:color="DBDBDB"/>
              <w:left w:val="nil"/>
              <w:bottom w:val="single" w:sz="4" w:space="0" w:color="DBDBDB"/>
              <w:right w:val="nil"/>
            </w:tcBorders>
            <w:noWrap/>
            <w:vAlign w:val="bottom"/>
            <w:hideMark/>
          </w:tcPr>
          <w:p w14:paraId="5AEF5B8E" w14:textId="18C6E0DC" w:rsidR="00F75A76" w:rsidRPr="00BD361D" w:rsidRDefault="00F75A76" w:rsidP="00F75A76">
            <w:pPr>
              <w:spacing w:after="0" w:line="240" w:lineRule="auto"/>
              <w:jc w:val="center"/>
              <w:rPr>
                <w:rFonts w:ascii="Arial" w:eastAsia="Times New Roman" w:hAnsi="Arial" w:cs="Arial"/>
                <w:color w:val="7B7B7B"/>
                <w:sz w:val="20"/>
                <w:szCs w:val="20"/>
                <w:lang w:val="en-GB" w:eastAsia="en-GB"/>
              </w:rPr>
            </w:pPr>
            <w:r>
              <w:rPr>
                <w:rFonts w:ascii="Arial" w:hAnsi="Arial" w:cs="Arial"/>
                <w:color w:val="757171"/>
                <w:sz w:val="20"/>
                <w:szCs w:val="20"/>
              </w:rPr>
              <w:t>119</w:t>
            </w:r>
          </w:p>
        </w:tc>
        <w:tc>
          <w:tcPr>
            <w:tcW w:w="2960" w:type="dxa"/>
            <w:tcBorders>
              <w:top w:val="single" w:sz="4" w:space="0" w:color="DBDBDB"/>
              <w:left w:val="nil"/>
              <w:bottom w:val="single" w:sz="4" w:space="0" w:color="DBDBDB"/>
              <w:right w:val="single" w:sz="12" w:space="0" w:color="auto"/>
            </w:tcBorders>
            <w:noWrap/>
            <w:vAlign w:val="bottom"/>
            <w:hideMark/>
          </w:tcPr>
          <w:p w14:paraId="2B983825" w14:textId="2E01E708" w:rsidR="00F75A76" w:rsidRPr="00BD361D" w:rsidRDefault="00F75A76" w:rsidP="00F75A76">
            <w:pPr>
              <w:spacing w:after="0" w:line="240" w:lineRule="auto"/>
              <w:jc w:val="center"/>
              <w:rPr>
                <w:rFonts w:ascii="Arial" w:eastAsia="Times New Roman" w:hAnsi="Arial" w:cs="Arial"/>
                <w:color w:val="7B7B7B"/>
                <w:sz w:val="20"/>
                <w:szCs w:val="20"/>
                <w:lang w:val="en-GB" w:eastAsia="en-GB"/>
              </w:rPr>
            </w:pPr>
            <w:r>
              <w:rPr>
                <w:rFonts w:ascii="Arial" w:hAnsi="Arial" w:cs="Arial"/>
                <w:color w:val="757171"/>
                <w:sz w:val="20"/>
                <w:szCs w:val="20"/>
              </w:rPr>
              <w:t>35%</w:t>
            </w:r>
          </w:p>
        </w:tc>
      </w:tr>
      <w:tr w:rsidR="00F75A76" w:rsidRPr="00BD361D" w14:paraId="350BC16E" w14:textId="77777777" w:rsidTr="00845FAD">
        <w:trPr>
          <w:trHeight w:val="255"/>
          <w:jc w:val="center"/>
        </w:trPr>
        <w:tc>
          <w:tcPr>
            <w:tcW w:w="3040" w:type="dxa"/>
            <w:tcBorders>
              <w:top w:val="single" w:sz="4" w:space="0" w:color="EDEDED"/>
              <w:left w:val="single" w:sz="12" w:space="0" w:color="auto"/>
              <w:bottom w:val="single" w:sz="4" w:space="0" w:color="EDEDED"/>
              <w:right w:val="single" w:sz="4" w:space="0" w:color="A5A5A5"/>
            </w:tcBorders>
            <w:shd w:val="clear" w:color="000000" w:fill="C1FFC1"/>
            <w:noWrap/>
            <w:vAlign w:val="bottom"/>
            <w:hideMark/>
          </w:tcPr>
          <w:p w14:paraId="0CBAA633" w14:textId="77777777" w:rsidR="00F75A76" w:rsidRPr="00BD361D" w:rsidRDefault="00F75A76" w:rsidP="00F75A76">
            <w:pPr>
              <w:spacing w:after="0" w:line="240" w:lineRule="auto"/>
              <w:jc w:val="center"/>
              <w:rPr>
                <w:rFonts w:ascii="Arial" w:eastAsia="Times New Roman" w:hAnsi="Arial" w:cs="Arial"/>
                <w:b/>
                <w:bCs/>
                <w:color w:val="375623"/>
                <w:sz w:val="20"/>
                <w:szCs w:val="20"/>
                <w:lang w:val="en-GB" w:eastAsia="en-GB"/>
              </w:rPr>
            </w:pPr>
            <w:r w:rsidRPr="00BD361D">
              <w:rPr>
                <w:rFonts w:ascii="Arial" w:eastAsia="Times New Roman" w:hAnsi="Arial" w:cs="Arial"/>
                <w:b/>
                <w:bCs/>
                <w:color w:val="375623"/>
                <w:sz w:val="20"/>
                <w:szCs w:val="20"/>
                <w:lang w:val="en-GB" w:eastAsia="en-GB"/>
              </w:rPr>
              <w:t>B</w:t>
            </w:r>
          </w:p>
        </w:tc>
        <w:tc>
          <w:tcPr>
            <w:tcW w:w="2240" w:type="dxa"/>
            <w:tcBorders>
              <w:top w:val="single" w:sz="4" w:space="0" w:color="EDEDED"/>
              <w:left w:val="nil"/>
              <w:bottom w:val="single" w:sz="4" w:space="0" w:color="EDEDED"/>
              <w:right w:val="nil"/>
            </w:tcBorders>
            <w:noWrap/>
            <w:vAlign w:val="bottom"/>
            <w:hideMark/>
          </w:tcPr>
          <w:p w14:paraId="6F869A9D" w14:textId="6462F413" w:rsidR="00F75A76" w:rsidRPr="00BD361D" w:rsidRDefault="00F75A76" w:rsidP="00F75A76">
            <w:pPr>
              <w:spacing w:after="0" w:line="240" w:lineRule="auto"/>
              <w:jc w:val="center"/>
              <w:rPr>
                <w:rFonts w:ascii="Arial" w:eastAsia="Times New Roman" w:hAnsi="Arial" w:cs="Arial"/>
                <w:color w:val="7B7B7B"/>
                <w:sz w:val="20"/>
                <w:szCs w:val="20"/>
                <w:lang w:val="en-GB" w:eastAsia="en-GB"/>
              </w:rPr>
            </w:pPr>
            <w:r>
              <w:rPr>
                <w:rFonts w:ascii="Arial" w:hAnsi="Arial" w:cs="Arial"/>
                <w:color w:val="757171"/>
                <w:sz w:val="20"/>
                <w:szCs w:val="20"/>
              </w:rPr>
              <w:t>54</w:t>
            </w:r>
          </w:p>
        </w:tc>
        <w:tc>
          <w:tcPr>
            <w:tcW w:w="2960" w:type="dxa"/>
            <w:tcBorders>
              <w:top w:val="single" w:sz="4" w:space="0" w:color="EDEDED"/>
              <w:left w:val="nil"/>
              <w:bottom w:val="single" w:sz="4" w:space="0" w:color="EDEDED"/>
              <w:right w:val="single" w:sz="12" w:space="0" w:color="auto"/>
            </w:tcBorders>
            <w:noWrap/>
            <w:vAlign w:val="bottom"/>
            <w:hideMark/>
          </w:tcPr>
          <w:p w14:paraId="19E659B2" w14:textId="33D8DDC3" w:rsidR="00F75A76" w:rsidRPr="00BD361D" w:rsidRDefault="00F75A76" w:rsidP="00F75A76">
            <w:pPr>
              <w:spacing w:after="0" w:line="240" w:lineRule="auto"/>
              <w:jc w:val="center"/>
              <w:rPr>
                <w:rFonts w:ascii="Arial" w:eastAsia="Times New Roman" w:hAnsi="Arial" w:cs="Arial"/>
                <w:color w:val="7B7B7B"/>
                <w:sz w:val="20"/>
                <w:szCs w:val="20"/>
                <w:lang w:val="en-GB" w:eastAsia="en-GB"/>
              </w:rPr>
            </w:pPr>
            <w:r>
              <w:rPr>
                <w:rFonts w:ascii="Arial" w:hAnsi="Arial" w:cs="Arial"/>
                <w:color w:val="757171"/>
                <w:sz w:val="20"/>
                <w:szCs w:val="20"/>
              </w:rPr>
              <w:t>16%</w:t>
            </w:r>
          </w:p>
        </w:tc>
      </w:tr>
      <w:tr w:rsidR="00F75A76" w:rsidRPr="00BD361D" w14:paraId="7A4EA59A" w14:textId="77777777" w:rsidTr="00845FAD">
        <w:trPr>
          <w:trHeight w:val="255"/>
          <w:jc w:val="center"/>
        </w:trPr>
        <w:tc>
          <w:tcPr>
            <w:tcW w:w="3040" w:type="dxa"/>
            <w:tcBorders>
              <w:top w:val="single" w:sz="4" w:space="0" w:color="DBDBDB"/>
              <w:left w:val="single" w:sz="12" w:space="0" w:color="auto"/>
              <w:bottom w:val="single" w:sz="4" w:space="0" w:color="DBDBDB"/>
              <w:right w:val="single" w:sz="4" w:space="0" w:color="A5A5A5"/>
            </w:tcBorders>
            <w:shd w:val="clear" w:color="000000" w:fill="FFFF66"/>
            <w:noWrap/>
            <w:vAlign w:val="bottom"/>
            <w:hideMark/>
          </w:tcPr>
          <w:p w14:paraId="1F08628B" w14:textId="77777777" w:rsidR="00F75A76" w:rsidRPr="00BD361D" w:rsidRDefault="00F75A76" w:rsidP="00F75A76">
            <w:pPr>
              <w:spacing w:after="0" w:line="240" w:lineRule="auto"/>
              <w:jc w:val="center"/>
              <w:rPr>
                <w:rFonts w:ascii="Arial" w:eastAsia="Times New Roman" w:hAnsi="Arial" w:cs="Arial"/>
                <w:b/>
                <w:bCs/>
                <w:color w:val="806000"/>
                <w:sz w:val="20"/>
                <w:szCs w:val="20"/>
                <w:lang w:val="en-GB" w:eastAsia="en-GB"/>
              </w:rPr>
            </w:pPr>
            <w:r w:rsidRPr="00BD361D">
              <w:rPr>
                <w:rFonts w:ascii="Arial" w:eastAsia="Times New Roman" w:hAnsi="Arial" w:cs="Arial"/>
                <w:b/>
                <w:bCs/>
                <w:color w:val="806000"/>
                <w:sz w:val="20"/>
                <w:szCs w:val="20"/>
                <w:lang w:val="en-GB" w:eastAsia="en-GB"/>
              </w:rPr>
              <w:t>C</w:t>
            </w:r>
          </w:p>
        </w:tc>
        <w:tc>
          <w:tcPr>
            <w:tcW w:w="2240" w:type="dxa"/>
            <w:tcBorders>
              <w:top w:val="single" w:sz="4" w:space="0" w:color="DBDBDB"/>
              <w:left w:val="nil"/>
              <w:bottom w:val="single" w:sz="4" w:space="0" w:color="DBDBDB"/>
              <w:right w:val="nil"/>
            </w:tcBorders>
            <w:noWrap/>
            <w:vAlign w:val="bottom"/>
            <w:hideMark/>
          </w:tcPr>
          <w:p w14:paraId="1FB93036" w14:textId="67A760A1" w:rsidR="00F75A76" w:rsidRPr="00BD361D" w:rsidRDefault="00F75A76" w:rsidP="00F75A76">
            <w:pPr>
              <w:spacing w:after="0" w:line="240" w:lineRule="auto"/>
              <w:jc w:val="center"/>
              <w:rPr>
                <w:rFonts w:ascii="Arial" w:eastAsia="Times New Roman" w:hAnsi="Arial" w:cs="Arial"/>
                <w:color w:val="7B7B7B"/>
                <w:sz w:val="20"/>
                <w:szCs w:val="20"/>
                <w:lang w:val="en-GB" w:eastAsia="en-GB"/>
              </w:rPr>
            </w:pPr>
            <w:r>
              <w:rPr>
                <w:rFonts w:ascii="Arial" w:hAnsi="Arial" w:cs="Arial"/>
                <w:color w:val="757171"/>
                <w:sz w:val="20"/>
                <w:szCs w:val="20"/>
              </w:rPr>
              <w:t>74</w:t>
            </w:r>
          </w:p>
        </w:tc>
        <w:tc>
          <w:tcPr>
            <w:tcW w:w="2960" w:type="dxa"/>
            <w:tcBorders>
              <w:top w:val="single" w:sz="4" w:space="0" w:color="DBDBDB"/>
              <w:left w:val="nil"/>
              <w:bottom w:val="single" w:sz="4" w:space="0" w:color="DBDBDB"/>
              <w:right w:val="single" w:sz="12" w:space="0" w:color="auto"/>
            </w:tcBorders>
            <w:noWrap/>
            <w:vAlign w:val="bottom"/>
            <w:hideMark/>
          </w:tcPr>
          <w:p w14:paraId="1E7B468F" w14:textId="783DDB64" w:rsidR="00F75A76" w:rsidRPr="00BD361D" w:rsidRDefault="00F75A76" w:rsidP="00F75A76">
            <w:pPr>
              <w:spacing w:after="0" w:line="240" w:lineRule="auto"/>
              <w:jc w:val="center"/>
              <w:rPr>
                <w:rFonts w:ascii="Arial" w:eastAsia="Times New Roman" w:hAnsi="Arial" w:cs="Arial"/>
                <w:color w:val="7B7B7B"/>
                <w:sz w:val="20"/>
                <w:szCs w:val="20"/>
                <w:lang w:val="en-GB" w:eastAsia="en-GB"/>
              </w:rPr>
            </w:pPr>
            <w:r>
              <w:rPr>
                <w:rFonts w:ascii="Arial" w:hAnsi="Arial" w:cs="Arial"/>
                <w:color w:val="757171"/>
                <w:sz w:val="20"/>
                <w:szCs w:val="20"/>
              </w:rPr>
              <w:t>2</w:t>
            </w:r>
            <w:r w:rsidR="00000B06">
              <w:rPr>
                <w:rFonts w:ascii="Arial" w:hAnsi="Arial" w:cs="Arial"/>
                <w:color w:val="757171"/>
                <w:sz w:val="20"/>
                <w:szCs w:val="20"/>
              </w:rPr>
              <w:t>3</w:t>
            </w:r>
            <w:r>
              <w:rPr>
                <w:rFonts w:ascii="Arial" w:hAnsi="Arial" w:cs="Arial"/>
                <w:color w:val="757171"/>
                <w:sz w:val="20"/>
                <w:szCs w:val="20"/>
              </w:rPr>
              <w:t>%</w:t>
            </w:r>
          </w:p>
        </w:tc>
      </w:tr>
      <w:tr w:rsidR="00F75A76" w:rsidRPr="00BD361D" w14:paraId="78D21AB0" w14:textId="77777777" w:rsidTr="00845FAD">
        <w:trPr>
          <w:trHeight w:val="255"/>
          <w:jc w:val="center"/>
        </w:trPr>
        <w:tc>
          <w:tcPr>
            <w:tcW w:w="3040" w:type="dxa"/>
            <w:tcBorders>
              <w:top w:val="single" w:sz="4" w:space="0" w:color="EDEDED"/>
              <w:left w:val="single" w:sz="12" w:space="0" w:color="auto"/>
              <w:bottom w:val="single" w:sz="4" w:space="0" w:color="EDEDED"/>
              <w:right w:val="single" w:sz="4" w:space="0" w:color="A5A5A5"/>
            </w:tcBorders>
            <w:shd w:val="clear" w:color="000000" w:fill="FFC267"/>
            <w:noWrap/>
            <w:vAlign w:val="bottom"/>
            <w:hideMark/>
          </w:tcPr>
          <w:p w14:paraId="3633F3FD" w14:textId="77777777" w:rsidR="00F75A76" w:rsidRPr="00BD361D" w:rsidRDefault="00F75A76" w:rsidP="00F75A76">
            <w:pPr>
              <w:spacing w:after="0" w:line="240" w:lineRule="auto"/>
              <w:jc w:val="center"/>
              <w:rPr>
                <w:rFonts w:ascii="Arial" w:eastAsia="Times New Roman" w:hAnsi="Arial" w:cs="Arial"/>
                <w:b/>
                <w:bCs/>
                <w:color w:val="833C0C"/>
                <w:sz w:val="20"/>
                <w:szCs w:val="20"/>
                <w:lang w:val="en-GB" w:eastAsia="en-GB"/>
              </w:rPr>
            </w:pPr>
            <w:r w:rsidRPr="00BD361D">
              <w:rPr>
                <w:rFonts w:ascii="Arial" w:eastAsia="Times New Roman" w:hAnsi="Arial" w:cs="Arial"/>
                <w:b/>
                <w:bCs/>
                <w:color w:val="833C0C"/>
                <w:sz w:val="20"/>
                <w:szCs w:val="20"/>
                <w:lang w:val="en-GB" w:eastAsia="en-GB"/>
              </w:rPr>
              <w:t>D</w:t>
            </w:r>
          </w:p>
        </w:tc>
        <w:tc>
          <w:tcPr>
            <w:tcW w:w="2240" w:type="dxa"/>
            <w:tcBorders>
              <w:top w:val="single" w:sz="4" w:space="0" w:color="EDEDED"/>
              <w:left w:val="nil"/>
              <w:bottom w:val="single" w:sz="4" w:space="0" w:color="EDEDED"/>
              <w:right w:val="nil"/>
            </w:tcBorders>
            <w:noWrap/>
            <w:vAlign w:val="bottom"/>
            <w:hideMark/>
          </w:tcPr>
          <w:p w14:paraId="0224123F" w14:textId="03D22F77" w:rsidR="00F75A76" w:rsidRPr="00BD361D" w:rsidRDefault="00F75A76" w:rsidP="00F75A76">
            <w:pPr>
              <w:spacing w:after="0" w:line="240" w:lineRule="auto"/>
              <w:jc w:val="center"/>
              <w:rPr>
                <w:rFonts w:ascii="Arial" w:eastAsia="Times New Roman" w:hAnsi="Arial" w:cs="Arial"/>
                <w:color w:val="7B7B7B"/>
                <w:sz w:val="20"/>
                <w:szCs w:val="20"/>
                <w:lang w:val="en-GB" w:eastAsia="en-GB"/>
              </w:rPr>
            </w:pPr>
            <w:r>
              <w:rPr>
                <w:rFonts w:ascii="Arial" w:hAnsi="Arial" w:cs="Arial"/>
                <w:color w:val="757171"/>
                <w:sz w:val="20"/>
                <w:szCs w:val="20"/>
              </w:rPr>
              <w:t>49</w:t>
            </w:r>
          </w:p>
        </w:tc>
        <w:tc>
          <w:tcPr>
            <w:tcW w:w="2960" w:type="dxa"/>
            <w:tcBorders>
              <w:top w:val="single" w:sz="4" w:space="0" w:color="EDEDED"/>
              <w:left w:val="nil"/>
              <w:bottom w:val="single" w:sz="4" w:space="0" w:color="EDEDED"/>
              <w:right w:val="single" w:sz="12" w:space="0" w:color="auto"/>
            </w:tcBorders>
            <w:noWrap/>
            <w:vAlign w:val="bottom"/>
            <w:hideMark/>
          </w:tcPr>
          <w:p w14:paraId="3CDCAC7D" w14:textId="3CD2AD49" w:rsidR="00F75A76" w:rsidRPr="00BD361D" w:rsidRDefault="00F75A76" w:rsidP="00F75A76">
            <w:pPr>
              <w:spacing w:after="0" w:line="240" w:lineRule="auto"/>
              <w:jc w:val="center"/>
              <w:rPr>
                <w:rFonts w:ascii="Arial" w:eastAsia="Times New Roman" w:hAnsi="Arial" w:cs="Arial"/>
                <w:color w:val="7B7B7B"/>
                <w:sz w:val="20"/>
                <w:szCs w:val="20"/>
                <w:lang w:val="en-GB" w:eastAsia="en-GB"/>
              </w:rPr>
            </w:pPr>
            <w:r>
              <w:rPr>
                <w:rFonts w:ascii="Arial" w:hAnsi="Arial" w:cs="Arial"/>
                <w:color w:val="757171"/>
                <w:sz w:val="20"/>
                <w:szCs w:val="20"/>
              </w:rPr>
              <w:t>14%</w:t>
            </w:r>
          </w:p>
        </w:tc>
      </w:tr>
      <w:tr w:rsidR="00F75A76" w:rsidRPr="00BD361D" w14:paraId="36B9BC95" w14:textId="77777777" w:rsidTr="00845FAD">
        <w:trPr>
          <w:trHeight w:val="255"/>
          <w:jc w:val="center"/>
        </w:trPr>
        <w:tc>
          <w:tcPr>
            <w:tcW w:w="3040" w:type="dxa"/>
            <w:tcBorders>
              <w:top w:val="single" w:sz="4" w:space="0" w:color="DBDBDB"/>
              <w:left w:val="single" w:sz="12" w:space="0" w:color="auto"/>
              <w:bottom w:val="single" w:sz="4" w:space="0" w:color="DBDBDB"/>
              <w:right w:val="single" w:sz="4" w:space="0" w:color="A5A5A5"/>
            </w:tcBorders>
            <w:shd w:val="clear" w:color="000000" w:fill="FE7966"/>
            <w:noWrap/>
            <w:vAlign w:val="bottom"/>
            <w:hideMark/>
          </w:tcPr>
          <w:p w14:paraId="2F56DCA2" w14:textId="77777777" w:rsidR="00F75A76" w:rsidRPr="00BD361D" w:rsidRDefault="00F75A76" w:rsidP="00F75A76">
            <w:pPr>
              <w:spacing w:after="0" w:line="240" w:lineRule="auto"/>
              <w:jc w:val="center"/>
              <w:rPr>
                <w:rFonts w:ascii="Arial" w:eastAsia="Times New Roman" w:hAnsi="Arial" w:cs="Arial"/>
                <w:b/>
                <w:bCs/>
                <w:color w:val="161616"/>
                <w:sz w:val="20"/>
                <w:szCs w:val="20"/>
                <w:lang w:val="en-GB" w:eastAsia="en-GB"/>
              </w:rPr>
            </w:pPr>
            <w:r w:rsidRPr="00BD361D">
              <w:rPr>
                <w:rFonts w:ascii="Arial" w:eastAsia="Times New Roman" w:hAnsi="Arial" w:cs="Arial"/>
                <w:b/>
                <w:bCs/>
                <w:color w:val="161616"/>
                <w:sz w:val="20"/>
                <w:szCs w:val="20"/>
                <w:lang w:val="en-GB" w:eastAsia="en-GB"/>
              </w:rPr>
              <w:t>E</w:t>
            </w:r>
          </w:p>
        </w:tc>
        <w:tc>
          <w:tcPr>
            <w:tcW w:w="2240" w:type="dxa"/>
            <w:tcBorders>
              <w:top w:val="single" w:sz="4" w:space="0" w:color="DBDBDB"/>
              <w:left w:val="nil"/>
              <w:bottom w:val="single" w:sz="4" w:space="0" w:color="DBDBDB"/>
              <w:right w:val="nil"/>
            </w:tcBorders>
            <w:noWrap/>
            <w:vAlign w:val="bottom"/>
            <w:hideMark/>
          </w:tcPr>
          <w:p w14:paraId="325AEEB8" w14:textId="0F244C12" w:rsidR="00F75A76" w:rsidRPr="00BD361D" w:rsidRDefault="00F75A76" w:rsidP="00F75A76">
            <w:pPr>
              <w:spacing w:after="0" w:line="240" w:lineRule="auto"/>
              <w:jc w:val="center"/>
              <w:rPr>
                <w:rFonts w:ascii="Arial" w:eastAsia="Times New Roman" w:hAnsi="Arial" w:cs="Arial"/>
                <w:color w:val="7B7B7B"/>
                <w:sz w:val="20"/>
                <w:szCs w:val="20"/>
                <w:lang w:val="en-GB" w:eastAsia="en-GB"/>
              </w:rPr>
            </w:pPr>
            <w:r>
              <w:rPr>
                <w:rFonts w:ascii="Arial" w:hAnsi="Arial" w:cs="Arial"/>
                <w:color w:val="757171"/>
                <w:sz w:val="20"/>
                <w:szCs w:val="20"/>
              </w:rPr>
              <w:t>4</w:t>
            </w:r>
            <w:r w:rsidR="00000B06">
              <w:rPr>
                <w:rFonts w:ascii="Arial" w:hAnsi="Arial" w:cs="Arial"/>
                <w:color w:val="757171"/>
                <w:sz w:val="20"/>
                <w:szCs w:val="20"/>
              </w:rPr>
              <w:t>2</w:t>
            </w:r>
          </w:p>
        </w:tc>
        <w:tc>
          <w:tcPr>
            <w:tcW w:w="2960" w:type="dxa"/>
            <w:tcBorders>
              <w:top w:val="single" w:sz="4" w:space="0" w:color="DBDBDB"/>
              <w:left w:val="nil"/>
              <w:bottom w:val="single" w:sz="4" w:space="0" w:color="DBDBDB"/>
              <w:right w:val="single" w:sz="12" w:space="0" w:color="auto"/>
            </w:tcBorders>
            <w:noWrap/>
            <w:vAlign w:val="bottom"/>
            <w:hideMark/>
          </w:tcPr>
          <w:p w14:paraId="6584E7B3" w14:textId="10505C0F" w:rsidR="00F75A76" w:rsidRPr="00BD361D" w:rsidRDefault="00F75A76" w:rsidP="00F75A76">
            <w:pPr>
              <w:spacing w:after="0" w:line="240" w:lineRule="auto"/>
              <w:jc w:val="center"/>
              <w:rPr>
                <w:rFonts w:ascii="Arial" w:eastAsia="Times New Roman" w:hAnsi="Arial" w:cs="Arial"/>
                <w:color w:val="7B7B7B"/>
                <w:sz w:val="20"/>
                <w:szCs w:val="20"/>
                <w:lang w:val="en-GB" w:eastAsia="en-GB"/>
              </w:rPr>
            </w:pPr>
            <w:r>
              <w:rPr>
                <w:rFonts w:ascii="Arial" w:hAnsi="Arial" w:cs="Arial"/>
                <w:color w:val="757171"/>
                <w:sz w:val="20"/>
                <w:szCs w:val="20"/>
              </w:rPr>
              <w:t>1</w:t>
            </w:r>
            <w:r w:rsidR="00000B06">
              <w:rPr>
                <w:rFonts w:ascii="Arial" w:hAnsi="Arial" w:cs="Arial"/>
                <w:color w:val="757171"/>
                <w:sz w:val="20"/>
                <w:szCs w:val="20"/>
              </w:rPr>
              <w:t>2</w:t>
            </w:r>
            <w:r>
              <w:rPr>
                <w:rFonts w:ascii="Arial" w:hAnsi="Arial" w:cs="Arial"/>
                <w:color w:val="757171"/>
                <w:sz w:val="20"/>
                <w:szCs w:val="20"/>
              </w:rPr>
              <w:t>%</w:t>
            </w:r>
          </w:p>
        </w:tc>
      </w:tr>
      <w:tr w:rsidR="00F75A76" w:rsidRPr="00BD361D" w14:paraId="648FD7BF" w14:textId="77777777" w:rsidTr="00845FAD">
        <w:trPr>
          <w:trHeight w:val="255"/>
          <w:jc w:val="center"/>
        </w:trPr>
        <w:tc>
          <w:tcPr>
            <w:tcW w:w="3040" w:type="dxa"/>
            <w:tcBorders>
              <w:top w:val="single" w:sz="8" w:space="0" w:color="A5A5A5"/>
              <w:left w:val="single" w:sz="12" w:space="0" w:color="auto"/>
              <w:bottom w:val="single" w:sz="12" w:space="0" w:color="auto"/>
              <w:right w:val="single" w:sz="4" w:space="0" w:color="A5A5A5"/>
            </w:tcBorders>
            <w:shd w:val="clear" w:color="FFFFCC" w:fill="FFFFFF"/>
            <w:noWrap/>
            <w:vAlign w:val="bottom"/>
            <w:hideMark/>
          </w:tcPr>
          <w:p w14:paraId="0E8471F4" w14:textId="77777777" w:rsidR="00F75A76" w:rsidRPr="00BD361D" w:rsidRDefault="00F75A76" w:rsidP="00F75A76">
            <w:pPr>
              <w:spacing w:after="0" w:line="240" w:lineRule="auto"/>
              <w:jc w:val="center"/>
              <w:rPr>
                <w:rFonts w:ascii="Arial" w:eastAsia="Times New Roman" w:hAnsi="Arial" w:cs="Arial"/>
                <w:b/>
                <w:bCs/>
                <w:color w:val="000000"/>
                <w:sz w:val="20"/>
                <w:szCs w:val="20"/>
                <w:lang w:val="en-GB" w:eastAsia="en-GB"/>
              </w:rPr>
            </w:pPr>
            <w:r w:rsidRPr="00BD361D">
              <w:rPr>
                <w:rFonts w:ascii="Arial" w:eastAsia="Times New Roman" w:hAnsi="Arial" w:cs="Arial"/>
                <w:b/>
                <w:bCs/>
                <w:color w:val="000000"/>
                <w:sz w:val="20"/>
                <w:szCs w:val="20"/>
                <w:lang w:val="en-GB" w:eastAsia="en-GB"/>
              </w:rPr>
              <w:t>Total</w:t>
            </w:r>
          </w:p>
        </w:tc>
        <w:tc>
          <w:tcPr>
            <w:tcW w:w="2240" w:type="dxa"/>
            <w:tcBorders>
              <w:top w:val="single" w:sz="8" w:space="0" w:color="A5A5A5"/>
              <w:left w:val="nil"/>
              <w:bottom w:val="single" w:sz="12" w:space="0" w:color="auto"/>
              <w:right w:val="nil"/>
            </w:tcBorders>
            <w:shd w:val="clear" w:color="FFFFCC" w:fill="FFFFFF"/>
            <w:noWrap/>
            <w:vAlign w:val="bottom"/>
            <w:hideMark/>
          </w:tcPr>
          <w:p w14:paraId="0A145E9B" w14:textId="1AF255D0" w:rsidR="00F75A76" w:rsidRPr="00BD361D" w:rsidRDefault="00F75A76" w:rsidP="00F75A76">
            <w:pPr>
              <w:spacing w:after="0" w:line="240" w:lineRule="auto"/>
              <w:jc w:val="center"/>
              <w:rPr>
                <w:rFonts w:ascii="Arial" w:eastAsia="Times New Roman" w:hAnsi="Arial" w:cs="Arial"/>
                <w:b/>
                <w:bCs/>
                <w:color w:val="000000"/>
                <w:sz w:val="20"/>
                <w:szCs w:val="20"/>
                <w:lang w:val="en-GB" w:eastAsia="en-GB"/>
              </w:rPr>
            </w:pPr>
            <w:r>
              <w:rPr>
                <w:rFonts w:ascii="Arial" w:hAnsi="Arial" w:cs="Arial"/>
                <w:b/>
                <w:bCs/>
                <w:color w:val="000000"/>
                <w:sz w:val="20"/>
                <w:szCs w:val="20"/>
              </w:rPr>
              <w:t>34</w:t>
            </w:r>
            <w:r w:rsidR="00000B06">
              <w:rPr>
                <w:rFonts w:ascii="Arial" w:hAnsi="Arial" w:cs="Arial"/>
                <w:b/>
                <w:bCs/>
                <w:color w:val="000000"/>
                <w:sz w:val="20"/>
                <w:szCs w:val="20"/>
              </w:rPr>
              <w:t>2</w:t>
            </w:r>
          </w:p>
        </w:tc>
        <w:tc>
          <w:tcPr>
            <w:tcW w:w="2960" w:type="dxa"/>
            <w:tcBorders>
              <w:top w:val="single" w:sz="8" w:space="0" w:color="A5A5A5"/>
              <w:left w:val="nil"/>
              <w:bottom w:val="single" w:sz="12" w:space="0" w:color="auto"/>
              <w:right w:val="single" w:sz="12" w:space="0" w:color="auto"/>
            </w:tcBorders>
            <w:shd w:val="clear" w:color="FFFFCC" w:fill="FFFFFF"/>
            <w:noWrap/>
            <w:vAlign w:val="bottom"/>
            <w:hideMark/>
          </w:tcPr>
          <w:p w14:paraId="4A7E264B" w14:textId="789E0A6A" w:rsidR="00F75A76" w:rsidRPr="00BD361D" w:rsidRDefault="00F75A76" w:rsidP="00F75A76">
            <w:pPr>
              <w:keepNext/>
              <w:spacing w:after="0" w:line="240" w:lineRule="auto"/>
              <w:jc w:val="center"/>
              <w:rPr>
                <w:rFonts w:ascii="Arial" w:eastAsia="Times New Roman" w:hAnsi="Arial" w:cs="Arial"/>
                <w:b/>
                <w:bCs/>
                <w:color w:val="000000"/>
                <w:sz w:val="20"/>
                <w:szCs w:val="20"/>
                <w:lang w:val="en-GB" w:eastAsia="en-GB"/>
              </w:rPr>
            </w:pPr>
            <w:r>
              <w:rPr>
                <w:rFonts w:ascii="Arial" w:hAnsi="Arial" w:cs="Arial"/>
                <w:b/>
                <w:bCs/>
                <w:color w:val="000000"/>
                <w:sz w:val="20"/>
                <w:szCs w:val="20"/>
              </w:rPr>
              <w:t>100%</w:t>
            </w:r>
          </w:p>
        </w:tc>
      </w:tr>
    </w:tbl>
    <w:p w14:paraId="7D54A5AE" w14:textId="611E71EB" w:rsidR="00BD361D" w:rsidRDefault="00027D8F" w:rsidP="00335219">
      <w:pPr>
        <w:pStyle w:val="Caption"/>
      </w:pPr>
      <w:bookmarkStart w:id="85" w:name="_Toc512556862"/>
      <w:r>
        <w:t xml:space="preserve">Table </w:t>
      </w:r>
      <w:r w:rsidR="00005B77">
        <w:fldChar w:fldCharType="begin"/>
      </w:r>
      <w:r w:rsidR="00005B77">
        <w:instrText xml:space="preserve"> SEQ Table \* ARABIC </w:instrText>
      </w:r>
      <w:r w:rsidR="00005B77">
        <w:fldChar w:fldCharType="separate"/>
      </w:r>
      <w:r w:rsidR="0099156B">
        <w:rPr>
          <w:noProof/>
        </w:rPr>
        <w:t>5</w:t>
      </w:r>
      <w:r w:rsidR="00005B77">
        <w:fldChar w:fldCharType="end"/>
      </w:r>
      <w:r>
        <w:t xml:space="preserve"> – GB S167 grades</w:t>
      </w:r>
      <w:bookmarkEnd w:id="85"/>
    </w:p>
    <w:p w14:paraId="3365089C" w14:textId="2FC1820E" w:rsidR="00BD361D" w:rsidRDefault="00BD361D" w:rsidP="00085BF8">
      <w:r>
        <w:t>It is perhaps unsurprising that a substantial proportion of authorities intend to create a list this financial year, in acco</w:t>
      </w:r>
      <w:r w:rsidR="00483294">
        <w:t>rdance with the DFT’s guidance. O</w:t>
      </w:r>
      <w:r>
        <w:t xml:space="preserve">f concern </w:t>
      </w:r>
      <w:r w:rsidR="00483294">
        <w:t>are</w:t>
      </w:r>
      <w:r>
        <w:t xml:space="preserve"> the 18% who have yet to decide whether to crea</w:t>
      </w:r>
      <w:r w:rsidR="00FB7995">
        <w:t>te a list, and the 26% who have no current plans</w:t>
      </w:r>
      <w:r>
        <w:t xml:space="preserve"> to do so.</w:t>
      </w:r>
    </w:p>
    <w:p w14:paraId="06A84C52" w14:textId="668CA561" w:rsidR="00027D8F" w:rsidRDefault="00236FFC" w:rsidP="00027D8F">
      <w:pPr>
        <w:keepNext/>
        <w:jc w:val="left"/>
      </w:pPr>
      <w:r>
        <w:rPr>
          <w:noProof/>
        </w:rPr>
        <w:drawing>
          <wp:anchor distT="0" distB="0" distL="114300" distR="114300" simplePos="0" relativeHeight="251831808" behindDoc="0" locked="0" layoutInCell="1" allowOverlap="1" wp14:anchorId="3CB16948" wp14:editId="3072DBF6">
            <wp:simplePos x="0" y="0"/>
            <wp:positionH relativeFrom="column">
              <wp:posOffset>4057650</wp:posOffset>
            </wp:positionH>
            <wp:positionV relativeFrom="paragraph">
              <wp:posOffset>61595</wp:posOffset>
            </wp:positionV>
            <wp:extent cx="1924050" cy="2345055"/>
            <wp:effectExtent l="57150" t="57150" r="190500" b="188595"/>
            <wp:wrapNone/>
            <wp:docPr id="25" name="Chart 25">
              <a:extLst xmlns:a="http://schemas.openxmlformats.org/drawingml/2006/main">
                <a:ext uri="{FF2B5EF4-FFF2-40B4-BE49-F238E27FC236}">
                  <a16:creationId xmlns:a16="http://schemas.microsoft.com/office/drawing/2014/main" id="{05125854-DE7E-4E34-9992-860E9AB5A2B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margin">
              <wp14:pctWidth>0</wp14:pctWidth>
            </wp14:sizeRelH>
          </wp:anchor>
        </w:drawing>
      </w:r>
      <w:r>
        <w:rPr>
          <w:noProof/>
        </w:rPr>
        <w:drawing>
          <wp:anchor distT="0" distB="0" distL="114300" distR="114300" simplePos="0" relativeHeight="251830784" behindDoc="0" locked="0" layoutInCell="1" allowOverlap="1" wp14:anchorId="79311696" wp14:editId="416D48C1">
            <wp:simplePos x="0" y="0"/>
            <wp:positionH relativeFrom="column">
              <wp:posOffset>2053866</wp:posOffset>
            </wp:positionH>
            <wp:positionV relativeFrom="paragraph">
              <wp:posOffset>49530</wp:posOffset>
            </wp:positionV>
            <wp:extent cx="1815465" cy="2361565"/>
            <wp:effectExtent l="38100" t="38100" r="184785" b="191135"/>
            <wp:wrapNone/>
            <wp:docPr id="19" name="Chart 19">
              <a:extLst xmlns:a="http://schemas.openxmlformats.org/drawingml/2006/main">
                <a:ext uri="{FF2B5EF4-FFF2-40B4-BE49-F238E27FC236}">
                  <a16:creationId xmlns:a16="http://schemas.microsoft.com/office/drawing/2014/main" id="{5B8CD429-64AA-401E-8E78-9207E8CEEED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anchor>
        </w:drawing>
      </w:r>
      <w:r>
        <w:rPr>
          <w:noProof/>
        </w:rPr>
        <w:drawing>
          <wp:inline distT="0" distB="0" distL="0" distR="0" wp14:anchorId="528ED93B" wp14:editId="188CEC88">
            <wp:extent cx="1815465" cy="2375452"/>
            <wp:effectExtent l="38100" t="38100" r="184785" b="196850"/>
            <wp:docPr id="18" name="Chart 18">
              <a:extLst xmlns:a="http://schemas.openxmlformats.org/drawingml/2006/main">
                <a:ext uri="{FF2B5EF4-FFF2-40B4-BE49-F238E27FC236}">
                  <a16:creationId xmlns:a16="http://schemas.microsoft.com/office/drawing/2014/main" id="{DBB4BB3B-23D1-4034-8536-4FADAC2A81C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r w:rsidRPr="00236FFC">
        <w:rPr>
          <w:noProof/>
        </w:rPr>
        <w:t xml:space="preserve"> </w:t>
      </w:r>
    </w:p>
    <w:tbl>
      <w:tblPr>
        <w:tblpPr w:leftFromText="180" w:rightFromText="180" w:vertAnchor="text" w:horzAnchor="page" w:tblpX="1861" w:tblpY="323"/>
        <w:tblW w:w="8240" w:type="dxa"/>
        <w:tblCellMar>
          <w:top w:w="15" w:type="dxa"/>
          <w:bottom w:w="15" w:type="dxa"/>
        </w:tblCellMar>
        <w:tblLook w:val="04A0" w:firstRow="1" w:lastRow="0" w:firstColumn="1" w:lastColumn="0" w:noHBand="0" w:noVBand="1"/>
      </w:tblPr>
      <w:tblGrid>
        <w:gridCol w:w="806"/>
        <w:gridCol w:w="1239"/>
        <w:gridCol w:w="1239"/>
        <w:gridCol w:w="1239"/>
        <w:gridCol w:w="1239"/>
        <w:gridCol w:w="1239"/>
        <w:gridCol w:w="1239"/>
      </w:tblGrid>
      <w:tr w:rsidR="00027D8F" w:rsidRPr="00EA0795" w14:paraId="76C60336" w14:textId="77777777" w:rsidTr="00027D8F">
        <w:trPr>
          <w:trHeight w:val="525"/>
        </w:trPr>
        <w:tc>
          <w:tcPr>
            <w:tcW w:w="806" w:type="dxa"/>
            <w:tcBorders>
              <w:top w:val="single" w:sz="12" w:space="0" w:color="auto"/>
              <w:left w:val="single" w:sz="12" w:space="0" w:color="auto"/>
              <w:bottom w:val="single" w:sz="8" w:space="0" w:color="A5A5A5"/>
              <w:right w:val="single" w:sz="4" w:space="0" w:color="A5A5A5"/>
            </w:tcBorders>
            <w:shd w:val="clear" w:color="FFFFCC" w:fill="FFFFFF"/>
            <w:vAlign w:val="center"/>
            <w:hideMark/>
          </w:tcPr>
          <w:p w14:paraId="1108D04F" w14:textId="77777777" w:rsidR="00027D8F" w:rsidRPr="00EA0795" w:rsidRDefault="00027D8F" w:rsidP="00027D8F">
            <w:pPr>
              <w:spacing w:after="0" w:line="240" w:lineRule="auto"/>
              <w:jc w:val="center"/>
              <w:rPr>
                <w:rFonts w:ascii="Arial" w:eastAsia="Times New Roman" w:hAnsi="Arial" w:cs="Arial"/>
                <w:b/>
                <w:bCs/>
                <w:color w:val="000000"/>
                <w:sz w:val="20"/>
                <w:szCs w:val="20"/>
                <w:lang w:val="en-GB" w:eastAsia="en-GB"/>
              </w:rPr>
            </w:pPr>
            <w:r w:rsidRPr="00EA0795">
              <w:rPr>
                <w:rFonts w:ascii="Arial" w:eastAsia="Times New Roman" w:hAnsi="Arial" w:cs="Arial"/>
                <w:b/>
                <w:bCs/>
                <w:color w:val="000000"/>
                <w:sz w:val="20"/>
                <w:szCs w:val="20"/>
                <w:lang w:val="en-GB" w:eastAsia="en-GB"/>
              </w:rPr>
              <w:t xml:space="preserve">S167 </w:t>
            </w:r>
            <w:r>
              <w:rPr>
                <w:rFonts w:ascii="Arial" w:eastAsia="Times New Roman" w:hAnsi="Arial" w:cs="Arial"/>
                <w:b/>
                <w:bCs/>
                <w:color w:val="000000"/>
                <w:sz w:val="20"/>
                <w:szCs w:val="20"/>
                <w:lang w:val="en-GB" w:eastAsia="en-GB"/>
              </w:rPr>
              <w:t>grade</w:t>
            </w:r>
          </w:p>
        </w:tc>
        <w:tc>
          <w:tcPr>
            <w:tcW w:w="1239" w:type="dxa"/>
            <w:tcBorders>
              <w:top w:val="single" w:sz="12" w:space="0" w:color="auto"/>
              <w:left w:val="nil"/>
              <w:bottom w:val="single" w:sz="8" w:space="0" w:color="A5A5A5"/>
              <w:right w:val="nil"/>
            </w:tcBorders>
            <w:shd w:val="clear" w:color="FFFFCC" w:fill="FFFFFF"/>
            <w:vAlign w:val="center"/>
            <w:hideMark/>
          </w:tcPr>
          <w:p w14:paraId="1A2C280A" w14:textId="77777777" w:rsidR="00027D8F" w:rsidRPr="00EA0795" w:rsidRDefault="00027D8F" w:rsidP="00027D8F">
            <w:pPr>
              <w:spacing w:after="0" w:line="240" w:lineRule="auto"/>
              <w:jc w:val="center"/>
              <w:rPr>
                <w:rFonts w:ascii="Arial" w:eastAsia="Times New Roman" w:hAnsi="Arial" w:cs="Arial"/>
                <w:b/>
                <w:bCs/>
                <w:color w:val="000000"/>
                <w:sz w:val="20"/>
                <w:szCs w:val="20"/>
                <w:lang w:val="en-GB" w:eastAsia="en-GB"/>
              </w:rPr>
            </w:pPr>
            <w:r w:rsidRPr="00EA0795">
              <w:rPr>
                <w:rFonts w:ascii="Arial" w:eastAsia="Times New Roman" w:hAnsi="Arial" w:cs="Arial"/>
                <w:b/>
                <w:bCs/>
                <w:color w:val="000000"/>
                <w:sz w:val="20"/>
                <w:szCs w:val="20"/>
                <w:lang w:val="en-GB" w:eastAsia="en-GB"/>
              </w:rPr>
              <w:t>English authorities</w:t>
            </w:r>
          </w:p>
        </w:tc>
        <w:tc>
          <w:tcPr>
            <w:tcW w:w="1239" w:type="dxa"/>
            <w:tcBorders>
              <w:top w:val="single" w:sz="12" w:space="0" w:color="auto"/>
              <w:left w:val="nil"/>
              <w:bottom w:val="single" w:sz="8" w:space="0" w:color="A5A5A5"/>
              <w:right w:val="single" w:sz="8" w:space="0" w:color="A5A5A5"/>
            </w:tcBorders>
            <w:shd w:val="clear" w:color="FFFFCC" w:fill="FFFFFF"/>
            <w:vAlign w:val="center"/>
            <w:hideMark/>
          </w:tcPr>
          <w:p w14:paraId="2B08CA19" w14:textId="77777777" w:rsidR="00027D8F" w:rsidRPr="00EA0795" w:rsidRDefault="00027D8F" w:rsidP="00027D8F">
            <w:pPr>
              <w:spacing w:after="0" w:line="240" w:lineRule="auto"/>
              <w:jc w:val="center"/>
              <w:rPr>
                <w:rFonts w:ascii="Arial" w:eastAsia="Times New Roman" w:hAnsi="Arial" w:cs="Arial"/>
                <w:b/>
                <w:bCs/>
                <w:color w:val="000000"/>
                <w:sz w:val="20"/>
                <w:szCs w:val="20"/>
                <w:lang w:val="en-GB" w:eastAsia="en-GB"/>
              </w:rPr>
            </w:pPr>
            <w:r w:rsidRPr="00EA0795">
              <w:rPr>
                <w:rFonts w:ascii="Arial" w:eastAsia="Times New Roman" w:hAnsi="Arial" w:cs="Arial"/>
                <w:b/>
                <w:bCs/>
                <w:color w:val="000000"/>
                <w:sz w:val="20"/>
                <w:szCs w:val="20"/>
                <w:lang w:val="en-GB" w:eastAsia="en-GB"/>
              </w:rPr>
              <w:t>% English authorities</w:t>
            </w:r>
          </w:p>
        </w:tc>
        <w:tc>
          <w:tcPr>
            <w:tcW w:w="1239" w:type="dxa"/>
            <w:tcBorders>
              <w:top w:val="single" w:sz="12" w:space="0" w:color="auto"/>
              <w:left w:val="nil"/>
              <w:bottom w:val="single" w:sz="8" w:space="0" w:color="A5A5A5"/>
              <w:right w:val="nil"/>
            </w:tcBorders>
            <w:shd w:val="clear" w:color="FFFFCC" w:fill="FFFFFF"/>
            <w:vAlign w:val="center"/>
            <w:hideMark/>
          </w:tcPr>
          <w:p w14:paraId="0B3DD8FB" w14:textId="77777777" w:rsidR="00027D8F" w:rsidRPr="00EA0795" w:rsidRDefault="00027D8F" w:rsidP="00027D8F">
            <w:pPr>
              <w:spacing w:after="0" w:line="240" w:lineRule="auto"/>
              <w:jc w:val="center"/>
              <w:rPr>
                <w:rFonts w:ascii="Arial" w:eastAsia="Times New Roman" w:hAnsi="Arial" w:cs="Arial"/>
                <w:b/>
                <w:bCs/>
                <w:color w:val="000000"/>
                <w:sz w:val="20"/>
                <w:szCs w:val="20"/>
                <w:lang w:val="en-GB" w:eastAsia="en-GB"/>
              </w:rPr>
            </w:pPr>
            <w:r w:rsidRPr="00EA0795">
              <w:rPr>
                <w:rFonts w:ascii="Arial" w:eastAsia="Times New Roman" w:hAnsi="Arial" w:cs="Arial"/>
                <w:b/>
                <w:bCs/>
                <w:color w:val="000000"/>
                <w:sz w:val="20"/>
                <w:szCs w:val="20"/>
                <w:lang w:val="en-GB" w:eastAsia="en-GB"/>
              </w:rPr>
              <w:t>Scottish authorities</w:t>
            </w:r>
          </w:p>
        </w:tc>
        <w:tc>
          <w:tcPr>
            <w:tcW w:w="1239" w:type="dxa"/>
            <w:tcBorders>
              <w:top w:val="single" w:sz="12" w:space="0" w:color="auto"/>
              <w:left w:val="nil"/>
              <w:bottom w:val="single" w:sz="8" w:space="0" w:color="A5A5A5"/>
              <w:right w:val="single" w:sz="8" w:space="0" w:color="A5A5A5"/>
            </w:tcBorders>
            <w:shd w:val="clear" w:color="FFFFCC" w:fill="FFFFFF"/>
            <w:vAlign w:val="center"/>
            <w:hideMark/>
          </w:tcPr>
          <w:p w14:paraId="5EB9DBFD" w14:textId="77777777" w:rsidR="00027D8F" w:rsidRPr="00EA0795" w:rsidRDefault="00027D8F" w:rsidP="00027D8F">
            <w:pPr>
              <w:spacing w:after="0" w:line="240" w:lineRule="auto"/>
              <w:jc w:val="center"/>
              <w:rPr>
                <w:rFonts w:ascii="Arial" w:eastAsia="Times New Roman" w:hAnsi="Arial" w:cs="Arial"/>
                <w:b/>
                <w:bCs/>
                <w:color w:val="000000"/>
                <w:sz w:val="20"/>
                <w:szCs w:val="20"/>
                <w:lang w:val="en-GB" w:eastAsia="en-GB"/>
              </w:rPr>
            </w:pPr>
            <w:r w:rsidRPr="00EA0795">
              <w:rPr>
                <w:rFonts w:ascii="Arial" w:eastAsia="Times New Roman" w:hAnsi="Arial" w:cs="Arial"/>
                <w:b/>
                <w:bCs/>
                <w:color w:val="000000"/>
                <w:sz w:val="20"/>
                <w:szCs w:val="20"/>
                <w:lang w:val="en-GB" w:eastAsia="en-GB"/>
              </w:rPr>
              <w:t>% Scottish authorities</w:t>
            </w:r>
          </w:p>
        </w:tc>
        <w:tc>
          <w:tcPr>
            <w:tcW w:w="1239" w:type="dxa"/>
            <w:tcBorders>
              <w:top w:val="single" w:sz="12" w:space="0" w:color="auto"/>
              <w:left w:val="nil"/>
              <w:bottom w:val="single" w:sz="8" w:space="0" w:color="A5A5A5"/>
              <w:right w:val="nil"/>
            </w:tcBorders>
            <w:shd w:val="clear" w:color="FFFFCC" w:fill="FFFFFF"/>
            <w:vAlign w:val="center"/>
            <w:hideMark/>
          </w:tcPr>
          <w:p w14:paraId="1B396BB4" w14:textId="77777777" w:rsidR="00027D8F" w:rsidRPr="00EA0795" w:rsidRDefault="00027D8F" w:rsidP="00027D8F">
            <w:pPr>
              <w:spacing w:after="0" w:line="240" w:lineRule="auto"/>
              <w:jc w:val="center"/>
              <w:rPr>
                <w:rFonts w:ascii="Arial" w:eastAsia="Times New Roman" w:hAnsi="Arial" w:cs="Arial"/>
                <w:b/>
                <w:bCs/>
                <w:color w:val="000000"/>
                <w:sz w:val="20"/>
                <w:szCs w:val="20"/>
                <w:lang w:val="en-GB" w:eastAsia="en-GB"/>
              </w:rPr>
            </w:pPr>
            <w:r w:rsidRPr="00EA0795">
              <w:rPr>
                <w:rFonts w:ascii="Arial" w:eastAsia="Times New Roman" w:hAnsi="Arial" w:cs="Arial"/>
                <w:b/>
                <w:bCs/>
                <w:color w:val="000000"/>
                <w:sz w:val="20"/>
                <w:szCs w:val="20"/>
                <w:lang w:val="en-GB" w:eastAsia="en-GB"/>
              </w:rPr>
              <w:t>Welsh authorities</w:t>
            </w:r>
          </w:p>
        </w:tc>
        <w:tc>
          <w:tcPr>
            <w:tcW w:w="1239" w:type="dxa"/>
            <w:tcBorders>
              <w:top w:val="single" w:sz="12" w:space="0" w:color="auto"/>
              <w:left w:val="nil"/>
              <w:bottom w:val="single" w:sz="8" w:space="0" w:color="A5A5A5"/>
              <w:right w:val="single" w:sz="12" w:space="0" w:color="auto"/>
            </w:tcBorders>
            <w:shd w:val="clear" w:color="FFFFCC" w:fill="FFFFFF"/>
            <w:vAlign w:val="center"/>
            <w:hideMark/>
          </w:tcPr>
          <w:p w14:paraId="04E5965C" w14:textId="77777777" w:rsidR="00027D8F" w:rsidRPr="00EA0795" w:rsidRDefault="00027D8F" w:rsidP="00027D8F">
            <w:pPr>
              <w:spacing w:after="0" w:line="240" w:lineRule="auto"/>
              <w:jc w:val="center"/>
              <w:rPr>
                <w:rFonts w:ascii="Arial" w:eastAsia="Times New Roman" w:hAnsi="Arial" w:cs="Arial"/>
                <w:b/>
                <w:bCs/>
                <w:color w:val="000000"/>
                <w:sz w:val="20"/>
                <w:szCs w:val="20"/>
                <w:lang w:val="en-GB" w:eastAsia="en-GB"/>
              </w:rPr>
            </w:pPr>
            <w:r w:rsidRPr="00EA0795">
              <w:rPr>
                <w:rFonts w:ascii="Arial" w:eastAsia="Times New Roman" w:hAnsi="Arial" w:cs="Arial"/>
                <w:b/>
                <w:bCs/>
                <w:color w:val="000000"/>
                <w:sz w:val="20"/>
                <w:szCs w:val="20"/>
                <w:lang w:val="en-GB" w:eastAsia="en-GB"/>
              </w:rPr>
              <w:t>% Welsh authorities</w:t>
            </w:r>
          </w:p>
        </w:tc>
      </w:tr>
      <w:tr w:rsidR="00236FFC" w:rsidRPr="00EA0795" w14:paraId="281ED692" w14:textId="77777777" w:rsidTr="004A7F80">
        <w:trPr>
          <w:trHeight w:val="255"/>
        </w:trPr>
        <w:tc>
          <w:tcPr>
            <w:tcW w:w="806" w:type="dxa"/>
            <w:tcBorders>
              <w:top w:val="single" w:sz="4" w:space="0" w:color="EDEDED"/>
              <w:left w:val="single" w:sz="12" w:space="0" w:color="auto"/>
              <w:bottom w:val="single" w:sz="4" w:space="0" w:color="EDEDED"/>
              <w:right w:val="single" w:sz="4" w:space="0" w:color="A5A5A5"/>
            </w:tcBorders>
            <w:shd w:val="clear" w:color="FFFFCC" w:fill="B0CC66"/>
            <w:vAlign w:val="center"/>
            <w:hideMark/>
          </w:tcPr>
          <w:p w14:paraId="25762CE0" w14:textId="77777777" w:rsidR="00236FFC" w:rsidRPr="00EA0795" w:rsidRDefault="00236FFC" w:rsidP="00236FFC">
            <w:pPr>
              <w:spacing w:after="0" w:line="240" w:lineRule="auto"/>
              <w:jc w:val="center"/>
              <w:rPr>
                <w:rFonts w:ascii="Arial" w:eastAsia="Times New Roman" w:hAnsi="Arial" w:cs="Arial"/>
                <w:b/>
                <w:bCs/>
                <w:color w:val="375623"/>
                <w:sz w:val="20"/>
                <w:szCs w:val="20"/>
                <w:lang w:val="en-GB" w:eastAsia="en-GB"/>
              </w:rPr>
            </w:pPr>
            <w:r w:rsidRPr="00EA0795">
              <w:rPr>
                <w:rFonts w:ascii="Arial" w:eastAsia="Times New Roman" w:hAnsi="Arial" w:cs="Arial"/>
                <w:b/>
                <w:bCs/>
                <w:color w:val="375623"/>
                <w:sz w:val="20"/>
                <w:szCs w:val="20"/>
                <w:lang w:val="en-GB" w:eastAsia="en-GB"/>
              </w:rPr>
              <w:t>A</w:t>
            </w:r>
          </w:p>
        </w:tc>
        <w:tc>
          <w:tcPr>
            <w:tcW w:w="1239" w:type="dxa"/>
            <w:tcBorders>
              <w:top w:val="single" w:sz="4" w:space="0" w:color="EDEDED"/>
              <w:left w:val="nil"/>
              <w:bottom w:val="single" w:sz="4" w:space="0" w:color="EDEDED"/>
              <w:right w:val="nil"/>
            </w:tcBorders>
            <w:shd w:val="clear" w:color="FFFFCC" w:fill="FFFFFF"/>
            <w:vAlign w:val="bottom"/>
            <w:hideMark/>
          </w:tcPr>
          <w:p w14:paraId="41A44366" w14:textId="4087CBEC" w:rsidR="00236FFC" w:rsidRPr="00EA0795" w:rsidRDefault="00236FFC" w:rsidP="00236FFC">
            <w:pPr>
              <w:spacing w:after="0" w:line="240" w:lineRule="auto"/>
              <w:jc w:val="center"/>
              <w:rPr>
                <w:rFonts w:ascii="Arial" w:eastAsia="Times New Roman" w:hAnsi="Arial" w:cs="Arial"/>
                <w:b/>
                <w:bCs/>
                <w:color w:val="7B7B7B"/>
                <w:sz w:val="20"/>
                <w:szCs w:val="20"/>
                <w:lang w:val="en-GB" w:eastAsia="en-GB"/>
              </w:rPr>
            </w:pPr>
            <w:r>
              <w:rPr>
                <w:rFonts w:ascii="Arial" w:hAnsi="Arial" w:cs="Arial"/>
                <w:b/>
                <w:bCs/>
                <w:color w:val="757171"/>
                <w:sz w:val="20"/>
                <w:szCs w:val="20"/>
              </w:rPr>
              <w:t>101</w:t>
            </w:r>
          </w:p>
        </w:tc>
        <w:tc>
          <w:tcPr>
            <w:tcW w:w="1239" w:type="dxa"/>
            <w:tcBorders>
              <w:top w:val="single" w:sz="4" w:space="0" w:color="EDEDED"/>
              <w:left w:val="nil"/>
              <w:bottom w:val="single" w:sz="4" w:space="0" w:color="EDEDED"/>
              <w:right w:val="single" w:sz="8" w:space="0" w:color="A5A5A5"/>
            </w:tcBorders>
            <w:shd w:val="clear" w:color="FFFFCC" w:fill="FFFFFF"/>
            <w:vAlign w:val="bottom"/>
            <w:hideMark/>
          </w:tcPr>
          <w:p w14:paraId="55BA7878" w14:textId="055F4ACB" w:rsidR="00236FFC" w:rsidRPr="00EA0795" w:rsidRDefault="00236FFC" w:rsidP="00236FFC">
            <w:pPr>
              <w:spacing w:after="0" w:line="240" w:lineRule="auto"/>
              <w:jc w:val="center"/>
              <w:rPr>
                <w:rFonts w:ascii="Arial" w:eastAsia="Times New Roman" w:hAnsi="Arial" w:cs="Arial"/>
                <w:b/>
                <w:bCs/>
                <w:color w:val="7B7B7B"/>
                <w:sz w:val="20"/>
                <w:szCs w:val="20"/>
                <w:lang w:val="en-GB" w:eastAsia="en-GB"/>
              </w:rPr>
            </w:pPr>
            <w:r>
              <w:rPr>
                <w:rFonts w:ascii="Arial" w:hAnsi="Arial" w:cs="Arial"/>
                <w:b/>
                <w:bCs/>
                <w:color w:val="757171"/>
                <w:sz w:val="20"/>
                <w:szCs w:val="20"/>
              </w:rPr>
              <w:t>35%</w:t>
            </w:r>
          </w:p>
        </w:tc>
        <w:tc>
          <w:tcPr>
            <w:tcW w:w="1239" w:type="dxa"/>
            <w:tcBorders>
              <w:top w:val="single" w:sz="4" w:space="0" w:color="EDEDED"/>
              <w:left w:val="nil"/>
              <w:bottom w:val="single" w:sz="4" w:space="0" w:color="EDEDED"/>
              <w:right w:val="nil"/>
            </w:tcBorders>
            <w:shd w:val="clear" w:color="FFFFCC" w:fill="FFFFFF"/>
            <w:vAlign w:val="bottom"/>
            <w:hideMark/>
          </w:tcPr>
          <w:p w14:paraId="6DAC7A51" w14:textId="0F2A1687" w:rsidR="00236FFC" w:rsidRPr="00EA0795" w:rsidRDefault="00236FFC" w:rsidP="00236FFC">
            <w:pPr>
              <w:spacing w:after="0" w:line="240" w:lineRule="auto"/>
              <w:jc w:val="center"/>
              <w:rPr>
                <w:rFonts w:ascii="Arial" w:eastAsia="Times New Roman" w:hAnsi="Arial" w:cs="Arial"/>
                <w:b/>
                <w:bCs/>
                <w:color w:val="7B7B7B"/>
                <w:sz w:val="20"/>
                <w:szCs w:val="20"/>
                <w:lang w:val="en-GB" w:eastAsia="en-GB"/>
              </w:rPr>
            </w:pPr>
            <w:r>
              <w:rPr>
                <w:rFonts w:ascii="Arial" w:hAnsi="Arial" w:cs="Arial"/>
                <w:b/>
                <w:bCs/>
                <w:color w:val="757171"/>
                <w:sz w:val="20"/>
                <w:szCs w:val="20"/>
              </w:rPr>
              <w:t>7</w:t>
            </w:r>
          </w:p>
        </w:tc>
        <w:tc>
          <w:tcPr>
            <w:tcW w:w="1239" w:type="dxa"/>
            <w:tcBorders>
              <w:top w:val="single" w:sz="4" w:space="0" w:color="EDEDED"/>
              <w:left w:val="nil"/>
              <w:bottom w:val="single" w:sz="4" w:space="0" w:color="EDEDED"/>
              <w:right w:val="single" w:sz="8" w:space="0" w:color="A5A5A5"/>
            </w:tcBorders>
            <w:shd w:val="clear" w:color="FFFFCC" w:fill="FFFFFF"/>
            <w:vAlign w:val="bottom"/>
            <w:hideMark/>
          </w:tcPr>
          <w:p w14:paraId="0CDD76C1" w14:textId="40779C2D" w:rsidR="00236FFC" w:rsidRPr="00EA0795" w:rsidRDefault="00236FFC" w:rsidP="00236FFC">
            <w:pPr>
              <w:spacing w:after="0" w:line="240" w:lineRule="auto"/>
              <w:jc w:val="center"/>
              <w:rPr>
                <w:rFonts w:ascii="Arial" w:eastAsia="Times New Roman" w:hAnsi="Arial" w:cs="Arial"/>
                <w:b/>
                <w:bCs/>
                <w:color w:val="7B7B7B"/>
                <w:sz w:val="20"/>
                <w:szCs w:val="20"/>
                <w:lang w:val="en-GB" w:eastAsia="en-GB"/>
              </w:rPr>
            </w:pPr>
            <w:r>
              <w:rPr>
                <w:rFonts w:ascii="Arial" w:hAnsi="Arial" w:cs="Arial"/>
                <w:b/>
                <w:bCs/>
                <w:color w:val="757171"/>
                <w:sz w:val="20"/>
                <w:szCs w:val="20"/>
              </w:rPr>
              <w:t>22%</w:t>
            </w:r>
          </w:p>
        </w:tc>
        <w:tc>
          <w:tcPr>
            <w:tcW w:w="1239" w:type="dxa"/>
            <w:tcBorders>
              <w:top w:val="single" w:sz="4" w:space="0" w:color="EDEDED"/>
              <w:left w:val="nil"/>
              <w:bottom w:val="single" w:sz="4" w:space="0" w:color="EDEDED"/>
              <w:right w:val="nil"/>
            </w:tcBorders>
            <w:shd w:val="clear" w:color="FFFFCC" w:fill="FFFFFF"/>
            <w:vAlign w:val="bottom"/>
            <w:hideMark/>
          </w:tcPr>
          <w:p w14:paraId="2721915F" w14:textId="4F84A719" w:rsidR="00236FFC" w:rsidRPr="00EA0795" w:rsidRDefault="00236FFC" w:rsidP="00236FFC">
            <w:pPr>
              <w:spacing w:after="0" w:line="240" w:lineRule="auto"/>
              <w:jc w:val="center"/>
              <w:rPr>
                <w:rFonts w:ascii="Arial" w:eastAsia="Times New Roman" w:hAnsi="Arial" w:cs="Arial"/>
                <w:b/>
                <w:bCs/>
                <w:color w:val="7B7B7B"/>
                <w:sz w:val="20"/>
                <w:szCs w:val="20"/>
                <w:lang w:val="en-GB" w:eastAsia="en-GB"/>
              </w:rPr>
            </w:pPr>
            <w:r>
              <w:rPr>
                <w:rFonts w:ascii="Arial" w:hAnsi="Arial" w:cs="Arial"/>
                <w:b/>
                <w:bCs/>
                <w:color w:val="757171"/>
                <w:sz w:val="20"/>
                <w:szCs w:val="20"/>
              </w:rPr>
              <w:t>11</w:t>
            </w:r>
          </w:p>
        </w:tc>
        <w:tc>
          <w:tcPr>
            <w:tcW w:w="1239" w:type="dxa"/>
            <w:tcBorders>
              <w:top w:val="single" w:sz="4" w:space="0" w:color="EDEDED"/>
              <w:left w:val="nil"/>
              <w:bottom w:val="single" w:sz="4" w:space="0" w:color="EDEDED"/>
              <w:right w:val="single" w:sz="12" w:space="0" w:color="auto"/>
            </w:tcBorders>
            <w:shd w:val="clear" w:color="FFFFCC" w:fill="FFFFFF"/>
            <w:vAlign w:val="bottom"/>
            <w:hideMark/>
          </w:tcPr>
          <w:p w14:paraId="4DD2B962" w14:textId="5DF48982" w:rsidR="00236FFC" w:rsidRPr="00EA0795" w:rsidRDefault="00236FFC" w:rsidP="00236FFC">
            <w:pPr>
              <w:spacing w:after="0" w:line="240" w:lineRule="auto"/>
              <w:jc w:val="center"/>
              <w:rPr>
                <w:rFonts w:ascii="Arial" w:eastAsia="Times New Roman" w:hAnsi="Arial" w:cs="Arial"/>
                <w:b/>
                <w:bCs/>
                <w:color w:val="7B7B7B"/>
                <w:sz w:val="20"/>
                <w:szCs w:val="20"/>
                <w:lang w:val="en-GB" w:eastAsia="en-GB"/>
              </w:rPr>
            </w:pPr>
            <w:r>
              <w:rPr>
                <w:rFonts w:ascii="Arial" w:hAnsi="Arial" w:cs="Arial"/>
                <w:b/>
                <w:bCs/>
                <w:color w:val="757171"/>
                <w:sz w:val="20"/>
                <w:szCs w:val="20"/>
              </w:rPr>
              <w:t>50%</w:t>
            </w:r>
          </w:p>
        </w:tc>
      </w:tr>
      <w:tr w:rsidR="00236FFC" w:rsidRPr="00EA0795" w14:paraId="2331EC65" w14:textId="77777777" w:rsidTr="004A7F80">
        <w:trPr>
          <w:trHeight w:val="255"/>
        </w:trPr>
        <w:tc>
          <w:tcPr>
            <w:tcW w:w="806" w:type="dxa"/>
            <w:tcBorders>
              <w:top w:val="single" w:sz="4" w:space="0" w:color="EDEDED"/>
              <w:left w:val="single" w:sz="12" w:space="0" w:color="auto"/>
              <w:bottom w:val="single" w:sz="4" w:space="0" w:color="EDEDED"/>
              <w:right w:val="single" w:sz="4" w:space="0" w:color="A5A5A5"/>
            </w:tcBorders>
            <w:shd w:val="clear" w:color="FFFFCC" w:fill="C1FFC1"/>
            <w:vAlign w:val="center"/>
            <w:hideMark/>
          </w:tcPr>
          <w:p w14:paraId="421A5D14" w14:textId="77777777" w:rsidR="00236FFC" w:rsidRPr="00EA0795" w:rsidRDefault="00236FFC" w:rsidP="00236FFC">
            <w:pPr>
              <w:spacing w:after="0" w:line="240" w:lineRule="auto"/>
              <w:jc w:val="center"/>
              <w:rPr>
                <w:rFonts w:ascii="Arial" w:eastAsia="Times New Roman" w:hAnsi="Arial" w:cs="Arial"/>
                <w:b/>
                <w:bCs/>
                <w:color w:val="375623"/>
                <w:sz w:val="20"/>
                <w:szCs w:val="20"/>
                <w:lang w:val="en-GB" w:eastAsia="en-GB"/>
              </w:rPr>
            </w:pPr>
            <w:r w:rsidRPr="00EA0795">
              <w:rPr>
                <w:rFonts w:ascii="Arial" w:eastAsia="Times New Roman" w:hAnsi="Arial" w:cs="Arial"/>
                <w:b/>
                <w:bCs/>
                <w:color w:val="375623"/>
                <w:sz w:val="20"/>
                <w:szCs w:val="20"/>
                <w:lang w:val="en-GB" w:eastAsia="en-GB"/>
              </w:rPr>
              <w:t>B</w:t>
            </w:r>
          </w:p>
        </w:tc>
        <w:tc>
          <w:tcPr>
            <w:tcW w:w="1239" w:type="dxa"/>
            <w:tcBorders>
              <w:top w:val="single" w:sz="4" w:space="0" w:color="EDEDED"/>
              <w:left w:val="nil"/>
              <w:bottom w:val="single" w:sz="4" w:space="0" w:color="EDEDED"/>
              <w:right w:val="nil"/>
            </w:tcBorders>
            <w:shd w:val="clear" w:color="FFFFCC" w:fill="FFFFFF"/>
            <w:vAlign w:val="bottom"/>
            <w:hideMark/>
          </w:tcPr>
          <w:p w14:paraId="0871B165" w14:textId="268DA7BC" w:rsidR="00236FFC" w:rsidRPr="00EA0795" w:rsidRDefault="00236FFC" w:rsidP="00236FFC">
            <w:pPr>
              <w:spacing w:after="0" w:line="240" w:lineRule="auto"/>
              <w:jc w:val="center"/>
              <w:rPr>
                <w:rFonts w:ascii="Arial" w:eastAsia="Times New Roman" w:hAnsi="Arial" w:cs="Arial"/>
                <w:b/>
                <w:bCs/>
                <w:color w:val="7B7B7B"/>
                <w:sz w:val="20"/>
                <w:szCs w:val="20"/>
                <w:lang w:val="en-GB" w:eastAsia="en-GB"/>
              </w:rPr>
            </w:pPr>
            <w:r>
              <w:rPr>
                <w:rFonts w:ascii="Arial" w:hAnsi="Arial" w:cs="Arial"/>
                <w:b/>
                <w:bCs/>
                <w:color w:val="757171"/>
                <w:sz w:val="20"/>
                <w:szCs w:val="20"/>
              </w:rPr>
              <w:t>47</w:t>
            </w:r>
          </w:p>
        </w:tc>
        <w:tc>
          <w:tcPr>
            <w:tcW w:w="1239" w:type="dxa"/>
            <w:tcBorders>
              <w:top w:val="single" w:sz="4" w:space="0" w:color="EDEDED"/>
              <w:left w:val="nil"/>
              <w:bottom w:val="single" w:sz="4" w:space="0" w:color="EDEDED"/>
              <w:right w:val="single" w:sz="8" w:space="0" w:color="A5A5A5"/>
            </w:tcBorders>
            <w:shd w:val="clear" w:color="FFFFCC" w:fill="FFFFFF"/>
            <w:vAlign w:val="bottom"/>
            <w:hideMark/>
          </w:tcPr>
          <w:p w14:paraId="0CAF1D1A" w14:textId="01DF0336" w:rsidR="00236FFC" w:rsidRPr="00EA0795" w:rsidRDefault="00236FFC" w:rsidP="00236FFC">
            <w:pPr>
              <w:spacing w:after="0" w:line="240" w:lineRule="auto"/>
              <w:jc w:val="center"/>
              <w:rPr>
                <w:rFonts w:ascii="Arial" w:eastAsia="Times New Roman" w:hAnsi="Arial" w:cs="Arial"/>
                <w:b/>
                <w:bCs/>
                <w:color w:val="7B7B7B"/>
                <w:sz w:val="20"/>
                <w:szCs w:val="20"/>
                <w:lang w:val="en-GB" w:eastAsia="en-GB"/>
              </w:rPr>
            </w:pPr>
            <w:r>
              <w:rPr>
                <w:rFonts w:ascii="Arial" w:hAnsi="Arial" w:cs="Arial"/>
                <w:b/>
                <w:bCs/>
                <w:color w:val="757171"/>
                <w:sz w:val="20"/>
                <w:szCs w:val="20"/>
              </w:rPr>
              <w:t>16%</w:t>
            </w:r>
          </w:p>
        </w:tc>
        <w:tc>
          <w:tcPr>
            <w:tcW w:w="1239" w:type="dxa"/>
            <w:tcBorders>
              <w:top w:val="single" w:sz="4" w:space="0" w:color="EDEDED"/>
              <w:left w:val="nil"/>
              <w:bottom w:val="single" w:sz="4" w:space="0" w:color="EDEDED"/>
              <w:right w:val="nil"/>
            </w:tcBorders>
            <w:shd w:val="clear" w:color="FFFFCC" w:fill="FFFFFF"/>
            <w:vAlign w:val="bottom"/>
            <w:hideMark/>
          </w:tcPr>
          <w:p w14:paraId="34FC24C5" w14:textId="2753D415" w:rsidR="00236FFC" w:rsidRPr="00EA0795" w:rsidRDefault="00236FFC" w:rsidP="00236FFC">
            <w:pPr>
              <w:spacing w:after="0" w:line="240" w:lineRule="auto"/>
              <w:jc w:val="center"/>
              <w:rPr>
                <w:rFonts w:ascii="Arial" w:eastAsia="Times New Roman" w:hAnsi="Arial" w:cs="Arial"/>
                <w:b/>
                <w:bCs/>
                <w:color w:val="7B7B7B"/>
                <w:sz w:val="20"/>
                <w:szCs w:val="20"/>
                <w:lang w:val="en-GB" w:eastAsia="en-GB"/>
              </w:rPr>
            </w:pPr>
            <w:r>
              <w:rPr>
                <w:rFonts w:ascii="Arial" w:hAnsi="Arial" w:cs="Arial"/>
                <w:b/>
                <w:bCs/>
                <w:color w:val="757171"/>
                <w:sz w:val="20"/>
                <w:szCs w:val="20"/>
              </w:rPr>
              <w:t>2</w:t>
            </w:r>
          </w:p>
        </w:tc>
        <w:tc>
          <w:tcPr>
            <w:tcW w:w="1239" w:type="dxa"/>
            <w:tcBorders>
              <w:top w:val="single" w:sz="4" w:space="0" w:color="EDEDED"/>
              <w:left w:val="nil"/>
              <w:bottom w:val="single" w:sz="4" w:space="0" w:color="EDEDED"/>
              <w:right w:val="single" w:sz="8" w:space="0" w:color="A5A5A5"/>
            </w:tcBorders>
            <w:shd w:val="clear" w:color="FFFFCC" w:fill="FFFFFF"/>
            <w:vAlign w:val="bottom"/>
            <w:hideMark/>
          </w:tcPr>
          <w:p w14:paraId="481B677E" w14:textId="3AA8E31E" w:rsidR="00236FFC" w:rsidRPr="00EA0795" w:rsidRDefault="00236FFC" w:rsidP="00236FFC">
            <w:pPr>
              <w:spacing w:after="0" w:line="240" w:lineRule="auto"/>
              <w:jc w:val="center"/>
              <w:rPr>
                <w:rFonts w:ascii="Arial" w:eastAsia="Times New Roman" w:hAnsi="Arial" w:cs="Arial"/>
                <w:b/>
                <w:bCs/>
                <w:color w:val="7B7B7B"/>
                <w:sz w:val="20"/>
                <w:szCs w:val="20"/>
                <w:lang w:val="en-GB" w:eastAsia="en-GB"/>
              </w:rPr>
            </w:pPr>
            <w:r>
              <w:rPr>
                <w:rFonts w:ascii="Arial" w:hAnsi="Arial" w:cs="Arial"/>
                <w:b/>
                <w:bCs/>
                <w:color w:val="757171"/>
                <w:sz w:val="20"/>
                <w:szCs w:val="20"/>
              </w:rPr>
              <w:t>6%</w:t>
            </w:r>
          </w:p>
        </w:tc>
        <w:tc>
          <w:tcPr>
            <w:tcW w:w="1239" w:type="dxa"/>
            <w:tcBorders>
              <w:top w:val="single" w:sz="4" w:space="0" w:color="EDEDED"/>
              <w:left w:val="nil"/>
              <w:bottom w:val="single" w:sz="4" w:space="0" w:color="EDEDED"/>
              <w:right w:val="nil"/>
            </w:tcBorders>
            <w:shd w:val="clear" w:color="FFFFCC" w:fill="FFFFFF"/>
            <w:vAlign w:val="bottom"/>
            <w:hideMark/>
          </w:tcPr>
          <w:p w14:paraId="5E5E2304" w14:textId="4AD26A58" w:rsidR="00236FFC" w:rsidRPr="00EA0795" w:rsidRDefault="00236FFC" w:rsidP="00236FFC">
            <w:pPr>
              <w:spacing w:after="0" w:line="240" w:lineRule="auto"/>
              <w:jc w:val="center"/>
              <w:rPr>
                <w:rFonts w:ascii="Arial" w:eastAsia="Times New Roman" w:hAnsi="Arial" w:cs="Arial"/>
                <w:b/>
                <w:bCs/>
                <w:color w:val="7B7B7B"/>
                <w:sz w:val="20"/>
                <w:szCs w:val="20"/>
                <w:lang w:val="en-GB" w:eastAsia="en-GB"/>
              </w:rPr>
            </w:pPr>
            <w:r>
              <w:rPr>
                <w:rFonts w:ascii="Arial" w:hAnsi="Arial" w:cs="Arial"/>
                <w:b/>
                <w:bCs/>
                <w:color w:val="757171"/>
                <w:sz w:val="20"/>
                <w:szCs w:val="20"/>
              </w:rPr>
              <w:t>5</w:t>
            </w:r>
          </w:p>
        </w:tc>
        <w:tc>
          <w:tcPr>
            <w:tcW w:w="1239" w:type="dxa"/>
            <w:tcBorders>
              <w:top w:val="single" w:sz="4" w:space="0" w:color="EDEDED"/>
              <w:left w:val="nil"/>
              <w:bottom w:val="single" w:sz="4" w:space="0" w:color="EDEDED"/>
              <w:right w:val="single" w:sz="12" w:space="0" w:color="auto"/>
            </w:tcBorders>
            <w:shd w:val="clear" w:color="FFFFCC" w:fill="FFFFFF"/>
            <w:vAlign w:val="bottom"/>
            <w:hideMark/>
          </w:tcPr>
          <w:p w14:paraId="5C722CEA" w14:textId="7D7CE0BB" w:rsidR="00236FFC" w:rsidRPr="00EA0795" w:rsidRDefault="00236FFC" w:rsidP="00236FFC">
            <w:pPr>
              <w:spacing w:after="0" w:line="240" w:lineRule="auto"/>
              <w:jc w:val="center"/>
              <w:rPr>
                <w:rFonts w:ascii="Arial" w:eastAsia="Times New Roman" w:hAnsi="Arial" w:cs="Arial"/>
                <w:b/>
                <w:bCs/>
                <w:color w:val="7B7B7B"/>
                <w:sz w:val="20"/>
                <w:szCs w:val="20"/>
                <w:lang w:val="en-GB" w:eastAsia="en-GB"/>
              </w:rPr>
            </w:pPr>
            <w:r>
              <w:rPr>
                <w:rFonts w:ascii="Arial" w:hAnsi="Arial" w:cs="Arial"/>
                <w:b/>
                <w:bCs/>
                <w:color w:val="757171"/>
                <w:sz w:val="20"/>
                <w:szCs w:val="20"/>
              </w:rPr>
              <w:t>23%</w:t>
            </w:r>
          </w:p>
        </w:tc>
      </w:tr>
      <w:tr w:rsidR="00236FFC" w:rsidRPr="00EA0795" w14:paraId="3E7F77F0" w14:textId="77777777" w:rsidTr="004A7F80">
        <w:trPr>
          <w:trHeight w:val="255"/>
        </w:trPr>
        <w:tc>
          <w:tcPr>
            <w:tcW w:w="806" w:type="dxa"/>
            <w:tcBorders>
              <w:top w:val="single" w:sz="4" w:space="0" w:color="EDEDED"/>
              <w:left w:val="single" w:sz="12" w:space="0" w:color="auto"/>
              <w:bottom w:val="single" w:sz="4" w:space="0" w:color="EDEDED"/>
              <w:right w:val="single" w:sz="4" w:space="0" w:color="A5A5A5"/>
            </w:tcBorders>
            <w:shd w:val="clear" w:color="FFFFCC" w:fill="FFFF66"/>
            <w:vAlign w:val="center"/>
            <w:hideMark/>
          </w:tcPr>
          <w:p w14:paraId="4D469AEF" w14:textId="77777777" w:rsidR="00236FFC" w:rsidRPr="00EA0795" w:rsidRDefault="00236FFC" w:rsidP="00236FFC">
            <w:pPr>
              <w:spacing w:after="0" w:line="240" w:lineRule="auto"/>
              <w:jc w:val="center"/>
              <w:rPr>
                <w:rFonts w:ascii="Arial" w:eastAsia="Times New Roman" w:hAnsi="Arial" w:cs="Arial"/>
                <w:b/>
                <w:bCs/>
                <w:color w:val="806000"/>
                <w:sz w:val="20"/>
                <w:szCs w:val="20"/>
                <w:lang w:val="en-GB" w:eastAsia="en-GB"/>
              </w:rPr>
            </w:pPr>
            <w:r w:rsidRPr="00EA0795">
              <w:rPr>
                <w:rFonts w:ascii="Arial" w:eastAsia="Times New Roman" w:hAnsi="Arial" w:cs="Arial"/>
                <w:b/>
                <w:bCs/>
                <w:color w:val="806000"/>
                <w:sz w:val="20"/>
                <w:szCs w:val="20"/>
                <w:lang w:val="en-GB" w:eastAsia="en-GB"/>
              </w:rPr>
              <w:t>C</w:t>
            </w:r>
          </w:p>
        </w:tc>
        <w:tc>
          <w:tcPr>
            <w:tcW w:w="1239" w:type="dxa"/>
            <w:tcBorders>
              <w:top w:val="single" w:sz="4" w:space="0" w:color="EDEDED"/>
              <w:left w:val="nil"/>
              <w:bottom w:val="single" w:sz="4" w:space="0" w:color="EDEDED"/>
              <w:right w:val="nil"/>
            </w:tcBorders>
            <w:shd w:val="clear" w:color="FFFFCC" w:fill="FFFFFF"/>
            <w:vAlign w:val="bottom"/>
            <w:hideMark/>
          </w:tcPr>
          <w:p w14:paraId="28B29E2A" w14:textId="2BE25ED3" w:rsidR="00236FFC" w:rsidRPr="00EA0795" w:rsidRDefault="00236FFC" w:rsidP="00236FFC">
            <w:pPr>
              <w:spacing w:after="0" w:line="240" w:lineRule="auto"/>
              <w:jc w:val="center"/>
              <w:rPr>
                <w:rFonts w:ascii="Arial" w:eastAsia="Times New Roman" w:hAnsi="Arial" w:cs="Arial"/>
                <w:b/>
                <w:bCs/>
                <w:color w:val="7B7B7B"/>
                <w:sz w:val="20"/>
                <w:szCs w:val="20"/>
                <w:lang w:val="en-GB" w:eastAsia="en-GB"/>
              </w:rPr>
            </w:pPr>
            <w:r>
              <w:rPr>
                <w:rFonts w:ascii="Arial" w:hAnsi="Arial" w:cs="Arial"/>
                <w:b/>
                <w:bCs/>
                <w:color w:val="757171"/>
                <w:sz w:val="20"/>
                <w:szCs w:val="20"/>
              </w:rPr>
              <w:t>6</w:t>
            </w:r>
            <w:r w:rsidR="00890F17">
              <w:rPr>
                <w:rFonts w:ascii="Arial" w:hAnsi="Arial" w:cs="Arial"/>
                <w:b/>
                <w:bCs/>
                <w:color w:val="757171"/>
                <w:sz w:val="20"/>
                <w:szCs w:val="20"/>
              </w:rPr>
              <w:t>4</w:t>
            </w:r>
          </w:p>
        </w:tc>
        <w:tc>
          <w:tcPr>
            <w:tcW w:w="1239" w:type="dxa"/>
            <w:tcBorders>
              <w:top w:val="single" w:sz="4" w:space="0" w:color="EDEDED"/>
              <w:left w:val="nil"/>
              <w:bottom w:val="single" w:sz="4" w:space="0" w:color="EDEDED"/>
              <w:right w:val="single" w:sz="8" w:space="0" w:color="A5A5A5"/>
            </w:tcBorders>
            <w:shd w:val="clear" w:color="FFFFCC" w:fill="FFFFFF"/>
            <w:vAlign w:val="bottom"/>
            <w:hideMark/>
          </w:tcPr>
          <w:p w14:paraId="676A74D7" w14:textId="51A68332" w:rsidR="00236FFC" w:rsidRPr="00EA0795" w:rsidRDefault="00236FFC" w:rsidP="00236FFC">
            <w:pPr>
              <w:spacing w:after="0" w:line="240" w:lineRule="auto"/>
              <w:jc w:val="center"/>
              <w:rPr>
                <w:rFonts w:ascii="Arial" w:eastAsia="Times New Roman" w:hAnsi="Arial" w:cs="Arial"/>
                <w:b/>
                <w:bCs/>
                <w:color w:val="7B7B7B"/>
                <w:sz w:val="20"/>
                <w:szCs w:val="20"/>
                <w:lang w:val="en-GB" w:eastAsia="en-GB"/>
              </w:rPr>
            </w:pPr>
            <w:r>
              <w:rPr>
                <w:rFonts w:ascii="Arial" w:hAnsi="Arial" w:cs="Arial"/>
                <w:b/>
                <w:bCs/>
                <w:color w:val="757171"/>
                <w:sz w:val="20"/>
                <w:szCs w:val="20"/>
              </w:rPr>
              <w:t>2</w:t>
            </w:r>
            <w:r w:rsidR="00890F17">
              <w:rPr>
                <w:rFonts w:ascii="Arial" w:hAnsi="Arial" w:cs="Arial"/>
                <w:b/>
                <w:bCs/>
                <w:color w:val="757171"/>
                <w:sz w:val="20"/>
                <w:szCs w:val="20"/>
              </w:rPr>
              <w:t>2</w:t>
            </w:r>
            <w:r>
              <w:rPr>
                <w:rFonts w:ascii="Arial" w:hAnsi="Arial" w:cs="Arial"/>
                <w:b/>
                <w:bCs/>
                <w:color w:val="757171"/>
                <w:sz w:val="20"/>
                <w:szCs w:val="20"/>
              </w:rPr>
              <w:t>%</w:t>
            </w:r>
          </w:p>
        </w:tc>
        <w:tc>
          <w:tcPr>
            <w:tcW w:w="1239" w:type="dxa"/>
            <w:tcBorders>
              <w:top w:val="single" w:sz="4" w:space="0" w:color="EDEDED"/>
              <w:left w:val="nil"/>
              <w:bottom w:val="single" w:sz="4" w:space="0" w:color="EDEDED"/>
              <w:right w:val="nil"/>
            </w:tcBorders>
            <w:shd w:val="clear" w:color="FFFFCC" w:fill="FFFFFF"/>
            <w:vAlign w:val="bottom"/>
            <w:hideMark/>
          </w:tcPr>
          <w:p w14:paraId="7A115629" w14:textId="1FD6CA67" w:rsidR="00236FFC" w:rsidRPr="00EA0795" w:rsidRDefault="00236FFC" w:rsidP="00236FFC">
            <w:pPr>
              <w:spacing w:after="0" w:line="240" w:lineRule="auto"/>
              <w:jc w:val="center"/>
              <w:rPr>
                <w:rFonts w:ascii="Arial" w:eastAsia="Times New Roman" w:hAnsi="Arial" w:cs="Arial"/>
                <w:b/>
                <w:bCs/>
                <w:color w:val="7B7B7B"/>
                <w:sz w:val="20"/>
                <w:szCs w:val="20"/>
                <w:lang w:val="en-GB" w:eastAsia="en-GB"/>
              </w:rPr>
            </w:pPr>
            <w:r>
              <w:rPr>
                <w:rFonts w:ascii="Arial" w:hAnsi="Arial" w:cs="Arial"/>
                <w:b/>
                <w:bCs/>
                <w:color w:val="757171"/>
                <w:sz w:val="20"/>
                <w:szCs w:val="20"/>
              </w:rPr>
              <w:t>8</w:t>
            </w:r>
          </w:p>
        </w:tc>
        <w:tc>
          <w:tcPr>
            <w:tcW w:w="1239" w:type="dxa"/>
            <w:tcBorders>
              <w:top w:val="single" w:sz="4" w:space="0" w:color="EDEDED"/>
              <w:left w:val="nil"/>
              <w:bottom w:val="single" w:sz="4" w:space="0" w:color="EDEDED"/>
              <w:right w:val="single" w:sz="8" w:space="0" w:color="A5A5A5"/>
            </w:tcBorders>
            <w:shd w:val="clear" w:color="FFFFCC" w:fill="FFFFFF"/>
            <w:vAlign w:val="bottom"/>
            <w:hideMark/>
          </w:tcPr>
          <w:p w14:paraId="06235EFB" w14:textId="6BAA064F" w:rsidR="00236FFC" w:rsidRPr="00EA0795" w:rsidRDefault="00236FFC" w:rsidP="00236FFC">
            <w:pPr>
              <w:spacing w:after="0" w:line="240" w:lineRule="auto"/>
              <w:jc w:val="center"/>
              <w:rPr>
                <w:rFonts w:ascii="Arial" w:eastAsia="Times New Roman" w:hAnsi="Arial" w:cs="Arial"/>
                <w:b/>
                <w:bCs/>
                <w:color w:val="7B7B7B"/>
                <w:sz w:val="20"/>
                <w:szCs w:val="20"/>
                <w:lang w:val="en-GB" w:eastAsia="en-GB"/>
              </w:rPr>
            </w:pPr>
            <w:r>
              <w:rPr>
                <w:rFonts w:ascii="Arial" w:hAnsi="Arial" w:cs="Arial"/>
                <w:b/>
                <w:bCs/>
                <w:color w:val="757171"/>
                <w:sz w:val="20"/>
                <w:szCs w:val="20"/>
              </w:rPr>
              <w:t>25%</w:t>
            </w:r>
          </w:p>
        </w:tc>
        <w:tc>
          <w:tcPr>
            <w:tcW w:w="1239" w:type="dxa"/>
            <w:tcBorders>
              <w:top w:val="single" w:sz="4" w:space="0" w:color="EDEDED"/>
              <w:left w:val="nil"/>
              <w:bottom w:val="single" w:sz="4" w:space="0" w:color="EDEDED"/>
              <w:right w:val="nil"/>
            </w:tcBorders>
            <w:shd w:val="clear" w:color="FFFFCC" w:fill="FFFFFF"/>
            <w:vAlign w:val="bottom"/>
            <w:hideMark/>
          </w:tcPr>
          <w:p w14:paraId="15FF6EDF" w14:textId="685A5DAF" w:rsidR="00236FFC" w:rsidRPr="00EA0795" w:rsidRDefault="00236FFC" w:rsidP="00236FFC">
            <w:pPr>
              <w:spacing w:after="0" w:line="240" w:lineRule="auto"/>
              <w:jc w:val="center"/>
              <w:rPr>
                <w:rFonts w:ascii="Arial" w:eastAsia="Times New Roman" w:hAnsi="Arial" w:cs="Arial"/>
                <w:b/>
                <w:bCs/>
                <w:color w:val="7B7B7B"/>
                <w:sz w:val="20"/>
                <w:szCs w:val="20"/>
                <w:lang w:val="en-GB" w:eastAsia="en-GB"/>
              </w:rPr>
            </w:pPr>
            <w:r>
              <w:rPr>
                <w:rFonts w:ascii="Arial" w:hAnsi="Arial" w:cs="Arial"/>
                <w:b/>
                <w:bCs/>
                <w:color w:val="757171"/>
                <w:sz w:val="20"/>
                <w:szCs w:val="20"/>
              </w:rPr>
              <w:t>6</w:t>
            </w:r>
          </w:p>
        </w:tc>
        <w:tc>
          <w:tcPr>
            <w:tcW w:w="1239" w:type="dxa"/>
            <w:tcBorders>
              <w:top w:val="single" w:sz="4" w:space="0" w:color="EDEDED"/>
              <w:left w:val="nil"/>
              <w:bottom w:val="single" w:sz="4" w:space="0" w:color="EDEDED"/>
              <w:right w:val="single" w:sz="12" w:space="0" w:color="auto"/>
            </w:tcBorders>
            <w:shd w:val="clear" w:color="FFFFCC" w:fill="FFFFFF"/>
            <w:vAlign w:val="bottom"/>
            <w:hideMark/>
          </w:tcPr>
          <w:p w14:paraId="034D1085" w14:textId="50C1DD64" w:rsidR="00236FFC" w:rsidRPr="00EA0795" w:rsidRDefault="00236FFC" w:rsidP="00236FFC">
            <w:pPr>
              <w:spacing w:after="0" w:line="240" w:lineRule="auto"/>
              <w:jc w:val="center"/>
              <w:rPr>
                <w:rFonts w:ascii="Arial" w:eastAsia="Times New Roman" w:hAnsi="Arial" w:cs="Arial"/>
                <w:b/>
                <w:bCs/>
                <w:color w:val="7B7B7B"/>
                <w:sz w:val="20"/>
                <w:szCs w:val="20"/>
                <w:lang w:val="en-GB" w:eastAsia="en-GB"/>
              </w:rPr>
            </w:pPr>
            <w:r>
              <w:rPr>
                <w:rFonts w:ascii="Arial" w:hAnsi="Arial" w:cs="Arial"/>
                <w:b/>
                <w:bCs/>
                <w:color w:val="757171"/>
                <w:sz w:val="20"/>
                <w:szCs w:val="20"/>
              </w:rPr>
              <w:t>27%</w:t>
            </w:r>
          </w:p>
        </w:tc>
      </w:tr>
      <w:tr w:rsidR="00236FFC" w:rsidRPr="00EA0795" w14:paraId="3EB211D3" w14:textId="77777777" w:rsidTr="004A7F80">
        <w:trPr>
          <w:trHeight w:val="255"/>
        </w:trPr>
        <w:tc>
          <w:tcPr>
            <w:tcW w:w="806" w:type="dxa"/>
            <w:tcBorders>
              <w:top w:val="single" w:sz="4" w:space="0" w:color="EDEDED"/>
              <w:left w:val="single" w:sz="12" w:space="0" w:color="auto"/>
              <w:bottom w:val="single" w:sz="4" w:space="0" w:color="EDEDED"/>
              <w:right w:val="single" w:sz="4" w:space="0" w:color="A5A5A5"/>
            </w:tcBorders>
            <w:shd w:val="clear" w:color="FFFFCC" w:fill="FFC267"/>
            <w:vAlign w:val="center"/>
            <w:hideMark/>
          </w:tcPr>
          <w:p w14:paraId="3B28FFD1" w14:textId="77777777" w:rsidR="00236FFC" w:rsidRPr="00EA0795" w:rsidRDefault="00236FFC" w:rsidP="00236FFC">
            <w:pPr>
              <w:spacing w:after="0" w:line="240" w:lineRule="auto"/>
              <w:jc w:val="center"/>
              <w:rPr>
                <w:rFonts w:ascii="Arial" w:eastAsia="Times New Roman" w:hAnsi="Arial" w:cs="Arial"/>
                <w:b/>
                <w:bCs/>
                <w:color w:val="833C0C"/>
                <w:sz w:val="20"/>
                <w:szCs w:val="20"/>
                <w:lang w:val="en-GB" w:eastAsia="en-GB"/>
              </w:rPr>
            </w:pPr>
            <w:r w:rsidRPr="00EA0795">
              <w:rPr>
                <w:rFonts w:ascii="Arial" w:eastAsia="Times New Roman" w:hAnsi="Arial" w:cs="Arial"/>
                <w:b/>
                <w:bCs/>
                <w:color w:val="833C0C"/>
                <w:sz w:val="20"/>
                <w:szCs w:val="20"/>
                <w:lang w:val="en-GB" w:eastAsia="en-GB"/>
              </w:rPr>
              <w:t>D</w:t>
            </w:r>
          </w:p>
        </w:tc>
        <w:tc>
          <w:tcPr>
            <w:tcW w:w="1239" w:type="dxa"/>
            <w:tcBorders>
              <w:top w:val="single" w:sz="4" w:space="0" w:color="EDEDED"/>
              <w:left w:val="nil"/>
              <w:bottom w:val="single" w:sz="4" w:space="0" w:color="EDEDED"/>
              <w:right w:val="nil"/>
            </w:tcBorders>
            <w:shd w:val="clear" w:color="FFFFCC" w:fill="FFFFFF"/>
            <w:vAlign w:val="bottom"/>
            <w:hideMark/>
          </w:tcPr>
          <w:p w14:paraId="2EEAC64D" w14:textId="7F734AFC" w:rsidR="00236FFC" w:rsidRPr="00EA0795" w:rsidRDefault="00236FFC" w:rsidP="00236FFC">
            <w:pPr>
              <w:spacing w:after="0" w:line="240" w:lineRule="auto"/>
              <w:jc w:val="center"/>
              <w:rPr>
                <w:rFonts w:ascii="Arial" w:eastAsia="Times New Roman" w:hAnsi="Arial" w:cs="Arial"/>
                <w:b/>
                <w:bCs/>
                <w:color w:val="7B7B7B"/>
                <w:sz w:val="20"/>
                <w:szCs w:val="20"/>
                <w:lang w:val="en-GB" w:eastAsia="en-GB"/>
              </w:rPr>
            </w:pPr>
            <w:r>
              <w:rPr>
                <w:rFonts w:ascii="Arial" w:hAnsi="Arial" w:cs="Arial"/>
                <w:b/>
                <w:bCs/>
                <w:color w:val="757171"/>
                <w:sz w:val="20"/>
                <w:szCs w:val="20"/>
              </w:rPr>
              <w:t>37</w:t>
            </w:r>
          </w:p>
        </w:tc>
        <w:tc>
          <w:tcPr>
            <w:tcW w:w="1239" w:type="dxa"/>
            <w:tcBorders>
              <w:top w:val="single" w:sz="4" w:space="0" w:color="EDEDED"/>
              <w:left w:val="nil"/>
              <w:bottom w:val="single" w:sz="4" w:space="0" w:color="EDEDED"/>
              <w:right w:val="single" w:sz="8" w:space="0" w:color="A5A5A5"/>
            </w:tcBorders>
            <w:shd w:val="clear" w:color="FFFFCC" w:fill="FFFFFF"/>
            <w:vAlign w:val="bottom"/>
            <w:hideMark/>
          </w:tcPr>
          <w:p w14:paraId="7FC6357C" w14:textId="6829E5B9" w:rsidR="00236FFC" w:rsidRPr="00EA0795" w:rsidRDefault="00236FFC" w:rsidP="00236FFC">
            <w:pPr>
              <w:spacing w:after="0" w:line="240" w:lineRule="auto"/>
              <w:jc w:val="center"/>
              <w:rPr>
                <w:rFonts w:ascii="Arial" w:eastAsia="Times New Roman" w:hAnsi="Arial" w:cs="Arial"/>
                <w:b/>
                <w:bCs/>
                <w:color w:val="7B7B7B"/>
                <w:sz w:val="20"/>
                <w:szCs w:val="20"/>
                <w:lang w:val="en-GB" w:eastAsia="en-GB"/>
              </w:rPr>
            </w:pPr>
            <w:r>
              <w:rPr>
                <w:rFonts w:ascii="Arial" w:hAnsi="Arial" w:cs="Arial"/>
                <w:b/>
                <w:bCs/>
                <w:color w:val="757171"/>
                <w:sz w:val="20"/>
                <w:szCs w:val="20"/>
              </w:rPr>
              <w:t>13%</w:t>
            </w:r>
          </w:p>
        </w:tc>
        <w:tc>
          <w:tcPr>
            <w:tcW w:w="1239" w:type="dxa"/>
            <w:tcBorders>
              <w:top w:val="single" w:sz="4" w:space="0" w:color="EDEDED"/>
              <w:left w:val="nil"/>
              <w:bottom w:val="single" w:sz="4" w:space="0" w:color="EDEDED"/>
              <w:right w:val="nil"/>
            </w:tcBorders>
            <w:shd w:val="clear" w:color="FFFFCC" w:fill="FFFFFF"/>
            <w:vAlign w:val="bottom"/>
            <w:hideMark/>
          </w:tcPr>
          <w:p w14:paraId="71FEDB1E" w14:textId="2784D61B" w:rsidR="00236FFC" w:rsidRPr="00EA0795" w:rsidRDefault="00236FFC" w:rsidP="00236FFC">
            <w:pPr>
              <w:spacing w:after="0" w:line="240" w:lineRule="auto"/>
              <w:jc w:val="center"/>
              <w:rPr>
                <w:rFonts w:ascii="Arial" w:eastAsia="Times New Roman" w:hAnsi="Arial" w:cs="Arial"/>
                <w:b/>
                <w:bCs/>
                <w:color w:val="7B7B7B"/>
                <w:sz w:val="20"/>
                <w:szCs w:val="20"/>
                <w:lang w:val="en-GB" w:eastAsia="en-GB"/>
              </w:rPr>
            </w:pPr>
            <w:r>
              <w:rPr>
                <w:rFonts w:ascii="Arial" w:hAnsi="Arial" w:cs="Arial"/>
                <w:b/>
                <w:bCs/>
                <w:color w:val="757171"/>
                <w:sz w:val="20"/>
                <w:szCs w:val="20"/>
              </w:rPr>
              <w:t>12</w:t>
            </w:r>
          </w:p>
        </w:tc>
        <w:tc>
          <w:tcPr>
            <w:tcW w:w="1239" w:type="dxa"/>
            <w:tcBorders>
              <w:top w:val="single" w:sz="4" w:space="0" w:color="EDEDED"/>
              <w:left w:val="nil"/>
              <w:bottom w:val="single" w:sz="4" w:space="0" w:color="EDEDED"/>
              <w:right w:val="single" w:sz="8" w:space="0" w:color="A5A5A5"/>
            </w:tcBorders>
            <w:shd w:val="clear" w:color="FFFFCC" w:fill="FFFFFF"/>
            <w:vAlign w:val="bottom"/>
            <w:hideMark/>
          </w:tcPr>
          <w:p w14:paraId="5928FE84" w14:textId="3032E6CC" w:rsidR="00236FFC" w:rsidRPr="00EA0795" w:rsidRDefault="00236FFC" w:rsidP="00236FFC">
            <w:pPr>
              <w:spacing w:after="0" w:line="240" w:lineRule="auto"/>
              <w:jc w:val="center"/>
              <w:rPr>
                <w:rFonts w:ascii="Arial" w:eastAsia="Times New Roman" w:hAnsi="Arial" w:cs="Arial"/>
                <w:b/>
                <w:bCs/>
                <w:color w:val="7B7B7B"/>
                <w:sz w:val="20"/>
                <w:szCs w:val="20"/>
                <w:lang w:val="en-GB" w:eastAsia="en-GB"/>
              </w:rPr>
            </w:pPr>
            <w:r>
              <w:rPr>
                <w:rFonts w:ascii="Arial" w:hAnsi="Arial" w:cs="Arial"/>
                <w:b/>
                <w:bCs/>
                <w:color w:val="757171"/>
                <w:sz w:val="20"/>
                <w:szCs w:val="20"/>
              </w:rPr>
              <w:t>38%</w:t>
            </w:r>
          </w:p>
        </w:tc>
        <w:tc>
          <w:tcPr>
            <w:tcW w:w="1239" w:type="dxa"/>
            <w:tcBorders>
              <w:top w:val="single" w:sz="4" w:space="0" w:color="EDEDED"/>
              <w:left w:val="nil"/>
              <w:bottom w:val="single" w:sz="4" w:space="0" w:color="EDEDED"/>
              <w:right w:val="nil"/>
            </w:tcBorders>
            <w:shd w:val="clear" w:color="FFFFCC" w:fill="FFFFFF"/>
            <w:vAlign w:val="center"/>
            <w:hideMark/>
          </w:tcPr>
          <w:p w14:paraId="14B8E818" w14:textId="1AAB8E06" w:rsidR="00236FFC" w:rsidRPr="00EA0795" w:rsidRDefault="00FB393C" w:rsidP="00236FFC">
            <w:pPr>
              <w:spacing w:after="0" w:line="240" w:lineRule="auto"/>
              <w:jc w:val="center"/>
              <w:rPr>
                <w:rFonts w:ascii="Arial" w:eastAsia="Times New Roman" w:hAnsi="Arial" w:cs="Arial"/>
                <w:b/>
                <w:bCs/>
                <w:color w:val="7B7B7B"/>
                <w:sz w:val="20"/>
                <w:szCs w:val="20"/>
                <w:lang w:val="en-GB" w:eastAsia="en-GB"/>
              </w:rPr>
            </w:pPr>
            <w:r>
              <w:rPr>
                <w:rFonts w:ascii="Arial" w:eastAsia="Times New Roman" w:hAnsi="Arial" w:cs="Arial"/>
                <w:b/>
                <w:bCs/>
                <w:color w:val="7B7B7B"/>
                <w:sz w:val="20"/>
                <w:szCs w:val="20"/>
                <w:lang w:val="en-GB" w:eastAsia="en-GB"/>
              </w:rPr>
              <w:t>0</w:t>
            </w:r>
          </w:p>
        </w:tc>
        <w:tc>
          <w:tcPr>
            <w:tcW w:w="1239" w:type="dxa"/>
            <w:tcBorders>
              <w:top w:val="single" w:sz="4" w:space="0" w:color="EDEDED"/>
              <w:left w:val="nil"/>
              <w:bottom w:val="single" w:sz="4" w:space="0" w:color="EDEDED"/>
              <w:right w:val="single" w:sz="12" w:space="0" w:color="auto"/>
            </w:tcBorders>
            <w:shd w:val="clear" w:color="FFFFCC" w:fill="FFFFFF"/>
            <w:vAlign w:val="center"/>
            <w:hideMark/>
          </w:tcPr>
          <w:p w14:paraId="14ACA7E7" w14:textId="5CF44312" w:rsidR="00236FFC" w:rsidRPr="00EA0795" w:rsidRDefault="00236FFC" w:rsidP="00236FFC">
            <w:pPr>
              <w:spacing w:after="0" w:line="240" w:lineRule="auto"/>
              <w:jc w:val="center"/>
              <w:rPr>
                <w:rFonts w:ascii="Arial" w:eastAsia="Times New Roman" w:hAnsi="Arial" w:cs="Arial"/>
                <w:b/>
                <w:bCs/>
                <w:color w:val="7B7B7B"/>
                <w:sz w:val="20"/>
                <w:szCs w:val="20"/>
                <w:lang w:val="en-GB" w:eastAsia="en-GB"/>
              </w:rPr>
            </w:pPr>
          </w:p>
        </w:tc>
      </w:tr>
      <w:tr w:rsidR="00236FFC" w:rsidRPr="00EA0795" w14:paraId="481720DC" w14:textId="77777777" w:rsidTr="004A7F80">
        <w:trPr>
          <w:trHeight w:val="270"/>
        </w:trPr>
        <w:tc>
          <w:tcPr>
            <w:tcW w:w="806" w:type="dxa"/>
            <w:tcBorders>
              <w:top w:val="single" w:sz="4" w:space="0" w:color="EDEDED"/>
              <w:left w:val="single" w:sz="12" w:space="0" w:color="auto"/>
              <w:bottom w:val="single" w:sz="4" w:space="0" w:color="EDEDED"/>
              <w:right w:val="single" w:sz="4" w:space="0" w:color="A5A5A5"/>
            </w:tcBorders>
            <w:shd w:val="clear" w:color="FFFFCC" w:fill="FE7966"/>
            <w:vAlign w:val="center"/>
            <w:hideMark/>
          </w:tcPr>
          <w:p w14:paraId="50629B60" w14:textId="77777777" w:rsidR="00236FFC" w:rsidRPr="00EA0795" w:rsidRDefault="00236FFC" w:rsidP="00236FFC">
            <w:pPr>
              <w:spacing w:after="0" w:line="240" w:lineRule="auto"/>
              <w:jc w:val="center"/>
              <w:rPr>
                <w:rFonts w:ascii="Arial" w:eastAsia="Times New Roman" w:hAnsi="Arial" w:cs="Arial"/>
                <w:b/>
                <w:bCs/>
                <w:color w:val="161616"/>
                <w:sz w:val="20"/>
                <w:szCs w:val="20"/>
                <w:lang w:val="en-GB" w:eastAsia="en-GB"/>
              </w:rPr>
            </w:pPr>
            <w:r w:rsidRPr="00EA0795">
              <w:rPr>
                <w:rFonts w:ascii="Arial" w:eastAsia="Times New Roman" w:hAnsi="Arial" w:cs="Arial"/>
                <w:b/>
                <w:bCs/>
                <w:color w:val="161616"/>
                <w:sz w:val="20"/>
                <w:szCs w:val="20"/>
                <w:lang w:val="en-GB" w:eastAsia="en-GB"/>
              </w:rPr>
              <w:t>E</w:t>
            </w:r>
          </w:p>
        </w:tc>
        <w:tc>
          <w:tcPr>
            <w:tcW w:w="1239" w:type="dxa"/>
            <w:tcBorders>
              <w:top w:val="single" w:sz="4" w:space="0" w:color="EDEDED"/>
              <w:left w:val="nil"/>
              <w:bottom w:val="single" w:sz="4" w:space="0" w:color="EDEDED"/>
              <w:right w:val="nil"/>
            </w:tcBorders>
            <w:shd w:val="clear" w:color="FFFFCC" w:fill="FFFFFF"/>
            <w:vAlign w:val="bottom"/>
            <w:hideMark/>
          </w:tcPr>
          <w:p w14:paraId="71EF95E7" w14:textId="19BC0C00" w:rsidR="00236FFC" w:rsidRPr="00EA0795" w:rsidRDefault="00890F17" w:rsidP="00236FFC">
            <w:pPr>
              <w:spacing w:after="0" w:line="240" w:lineRule="auto"/>
              <w:jc w:val="center"/>
              <w:rPr>
                <w:rFonts w:ascii="Arial" w:eastAsia="Times New Roman" w:hAnsi="Arial" w:cs="Arial"/>
                <w:b/>
                <w:bCs/>
                <w:color w:val="7B7B7B"/>
                <w:sz w:val="20"/>
                <w:szCs w:val="20"/>
                <w:lang w:val="en-GB" w:eastAsia="en-GB"/>
              </w:rPr>
            </w:pPr>
            <w:r>
              <w:rPr>
                <w:rFonts w:ascii="Arial" w:hAnsi="Arial" w:cs="Arial"/>
                <w:b/>
                <w:bCs/>
                <w:color w:val="757171"/>
                <w:sz w:val="20"/>
                <w:szCs w:val="20"/>
              </w:rPr>
              <w:t>39</w:t>
            </w:r>
          </w:p>
        </w:tc>
        <w:tc>
          <w:tcPr>
            <w:tcW w:w="1239" w:type="dxa"/>
            <w:tcBorders>
              <w:top w:val="single" w:sz="4" w:space="0" w:color="EDEDED"/>
              <w:left w:val="nil"/>
              <w:bottom w:val="single" w:sz="4" w:space="0" w:color="EDEDED"/>
              <w:right w:val="single" w:sz="8" w:space="0" w:color="A5A5A5"/>
            </w:tcBorders>
            <w:shd w:val="clear" w:color="FFFFCC" w:fill="FFFFFF"/>
            <w:vAlign w:val="bottom"/>
            <w:hideMark/>
          </w:tcPr>
          <w:p w14:paraId="0F56AB91" w14:textId="3E2888B5" w:rsidR="00236FFC" w:rsidRPr="00EA0795" w:rsidRDefault="00236FFC" w:rsidP="00236FFC">
            <w:pPr>
              <w:spacing w:after="0" w:line="240" w:lineRule="auto"/>
              <w:jc w:val="center"/>
              <w:rPr>
                <w:rFonts w:ascii="Arial" w:eastAsia="Times New Roman" w:hAnsi="Arial" w:cs="Arial"/>
                <w:b/>
                <w:bCs/>
                <w:color w:val="7B7B7B"/>
                <w:sz w:val="20"/>
                <w:szCs w:val="20"/>
                <w:lang w:val="en-GB" w:eastAsia="en-GB"/>
              </w:rPr>
            </w:pPr>
            <w:r>
              <w:rPr>
                <w:rFonts w:ascii="Arial" w:hAnsi="Arial" w:cs="Arial"/>
                <w:b/>
                <w:bCs/>
                <w:color w:val="757171"/>
                <w:sz w:val="20"/>
                <w:szCs w:val="20"/>
              </w:rPr>
              <w:t>1</w:t>
            </w:r>
            <w:r w:rsidR="00890F17">
              <w:rPr>
                <w:rFonts w:ascii="Arial" w:hAnsi="Arial" w:cs="Arial"/>
                <w:b/>
                <w:bCs/>
                <w:color w:val="757171"/>
                <w:sz w:val="20"/>
                <w:szCs w:val="20"/>
              </w:rPr>
              <w:t>4</w:t>
            </w:r>
            <w:r>
              <w:rPr>
                <w:rFonts w:ascii="Arial" w:hAnsi="Arial" w:cs="Arial"/>
                <w:b/>
                <w:bCs/>
                <w:color w:val="757171"/>
                <w:sz w:val="20"/>
                <w:szCs w:val="20"/>
              </w:rPr>
              <w:t>%</w:t>
            </w:r>
          </w:p>
        </w:tc>
        <w:tc>
          <w:tcPr>
            <w:tcW w:w="1239" w:type="dxa"/>
            <w:tcBorders>
              <w:top w:val="single" w:sz="4" w:space="0" w:color="EDEDED"/>
              <w:left w:val="nil"/>
              <w:bottom w:val="single" w:sz="4" w:space="0" w:color="EDEDED"/>
              <w:right w:val="nil"/>
            </w:tcBorders>
            <w:shd w:val="clear" w:color="FFFFCC" w:fill="FFFFFF"/>
            <w:vAlign w:val="bottom"/>
            <w:hideMark/>
          </w:tcPr>
          <w:p w14:paraId="0B009BD7" w14:textId="6DCC5CEB" w:rsidR="00236FFC" w:rsidRPr="00EA0795" w:rsidRDefault="00236FFC" w:rsidP="00236FFC">
            <w:pPr>
              <w:spacing w:after="0" w:line="240" w:lineRule="auto"/>
              <w:jc w:val="center"/>
              <w:rPr>
                <w:rFonts w:ascii="Arial" w:eastAsia="Times New Roman" w:hAnsi="Arial" w:cs="Arial"/>
                <w:b/>
                <w:bCs/>
                <w:color w:val="7B7B7B"/>
                <w:sz w:val="20"/>
                <w:szCs w:val="20"/>
                <w:lang w:val="en-GB" w:eastAsia="en-GB"/>
              </w:rPr>
            </w:pPr>
            <w:r>
              <w:rPr>
                <w:rFonts w:ascii="Arial" w:hAnsi="Arial" w:cs="Arial"/>
                <w:b/>
                <w:bCs/>
                <w:color w:val="757171"/>
                <w:sz w:val="20"/>
                <w:szCs w:val="20"/>
              </w:rPr>
              <w:t>3</w:t>
            </w:r>
          </w:p>
        </w:tc>
        <w:tc>
          <w:tcPr>
            <w:tcW w:w="1239" w:type="dxa"/>
            <w:tcBorders>
              <w:top w:val="single" w:sz="4" w:space="0" w:color="EDEDED"/>
              <w:left w:val="nil"/>
              <w:bottom w:val="single" w:sz="4" w:space="0" w:color="EDEDED"/>
              <w:right w:val="single" w:sz="8" w:space="0" w:color="A5A5A5"/>
            </w:tcBorders>
            <w:shd w:val="clear" w:color="FFFFCC" w:fill="FFFFFF"/>
            <w:vAlign w:val="bottom"/>
            <w:hideMark/>
          </w:tcPr>
          <w:p w14:paraId="3167497E" w14:textId="5A62707B" w:rsidR="00236FFC" w:rsidRPr="00EA0795" w:rsidRDefault="00236FFC" w:rsidP="00236FFC">
            <w:pPr>
              <w:spacing w:after="0" w:line="240" w:lineRule="auto"/>
              <w:jc w:val="center"/>
              <w:rPr>
                <w:rFonts w:ascii="Arial" w:eastAsia="Times New Roman" w:hAnsi="Arial" w:cs="Arial"/>
                <w:b/>
                <w:bCs/>
                <w:color w:val="7B7B7B"/>
                <w:sz w:val="20"/>
                <w:szCs w:val="20"/>
                <w:lang w:val="en-GB" w:eastAsia="en-GB"/>
              </w:rPr>
            </w:pPr>
            <w:r>
              <w:rPr>
                <w:rFonts w:ascii="Arial" w:hAnsi="Arial" w:cs="Arial"/>
                <w:b/>
                <w:bCs/>
                <w:color w:val="757171"/>
                <w:sz w:val="20"/>
                <w:szCs w:val="20"/>
              </w:rPr>
              <w:t>9%</w:t>
            </w:r>
          </w:p>
        </w:tc>
        <w:tc>
          <w:tcPr>
            <w:tcW w:w="1239" w:type="dxa"/>
            <w:tcBorders>
              <w:top w:val="single" w:sz="4" w:space="0" w:color="EDEDED"/>
              <w:left w:val="nil"/>
              <w:bottom w:val="single" w:sz="4" w:space="0" w:color="EDEDED"/>
              <w:right w:val="nil"/>
            </w:tcBorders>
            <w:shd w:val="clear" w:color="FFFFCC" w:fill="FFFFFF"/>
            <w:vAlign w:val="center"/>
            <w:hideMark/>
          </w:tcPr>
          <w:p w14:paraId="627B3E10" w14:textId="62CE5E99" w:rsidR="00236FFC" w:rsidRPr="00EA0795" w:rsidRDefault="00FB393C" w:rsidP="00236FFC">
            <w:pPr>
              <w:spacing w:after="0" w:line="240" w:lineRule="auto"/>
              <w:jc w:val="center"/>
              <w:rPr>
                <w:rFonts w:ascii="Arial" w:eastAsia="Times New Roman" w:hAnsi="Arial" w:cs="Arial"/>
                <w:b/>
                <w:bCs/>
                <w:color w:val="7B7B7B"/>
                <w:sz w:val="20"/>
                <w:szCs w:val="20"/>
                <w:lang w:val="en-GB" w:eastAsia="en-GB"/>
              </w:rPr>
            </w:pPr>
            <w:r>
              <w:rPr>
                <w:rFonts w:ascii="Arial" w:eastAsia="Times New Roman" w:hAnsi="Arial" w:cs="Arial"/>
                <w:b/>
                <w:bCs/>
                <w:color w:val="7B7B7B"/>
                <w:sz w:val="20"/>
                <w:szCs w:val="20"/>
                <w:lang w:val="en-GB" w:eastAsia="en-GB"/>
              </w:rPr>
              <w:t>0</w:t>
            </w:r>
          </w:p>
        </w:tc>
        <w:tc>
          <w:tcPr>
            <w:tcW w:w="1239" w:type="dxa"/>
            <w:tcBorders>
              <w:top w:val="single" w:sz="4" w:space="0" w:color="EDEDED"/>
              <w:left w:val="nil"/>
              <w:bottom w:val="single" w:sz="4" w:space="0" w:color="EDEDED"/>
              <w:right w:val="single" w:sz="12" w:space="0" w:color="auto"/>
            </w:tcBorders>
            <w:shd w:val="clear" w:color="FFFFCC" w:fill="FFFFFF"/>
            <w:vAlign w:val="center"/>
            <w:hideMark/>
          </w:tcPr>
          <w:p w14:paraId="2D08DD1B" w14:textId="5268E903" w:rsidR="00236FFC" w:rsidRPr="00EA0795" w:rsidRDefault="00236FFC" w:rsidP="00236FFC">
            <w:pPr>
              <w:spacing w:after="0" w:line="240" w:lineRule="auto"/>
              <w:jc w:val="center"/>
              <w:rPr>
                <w:rFonts w:ascii="Arial" w:eastAsia="Times New Roman" w:hAnsi="Arial" w:cs="Arial"/>
                <w:b/>
                <w:bCs/>
                <w:color w:val="7B7B7B"/>
                <w:sz w:val="20"/>
                <w:szCs w:val="20"/>
                <w:lang w:val="en-GB" w:eastAsia="en-GB"/>
              </w:rPr>
            </w:pPr>
          </w:p>
        </w:tc>
      </w:tr>
      <w:tr w:rsidR="00236FFC" w:rsidRPr="00EA0795" w14:paraId="22EEDFE5" w14:textId="77777777" w:rsidTr="004A7F80">
        <w:trPr>
          <w:trHeight w:val="161"/>
        </w:trPr>
        <w:tc>
          <w:tcPr>
            <w:tcW w:w="806" w:type="dxa"/>
            <w:tcBorders>
              <w:top w:val="single" w:sz="8" w:space="0" w:color="A5A5A5"/>
              <w:left w:val="single" w:sz="12" w:space="0" w:color="auto"/>
              <w:bottom w:val="single" w:sz="12" w:space="0" w:color="auto"/>
              <w:right w:val="single" w:sz="4" w:space="0" w:color="A5A5A5"/>
            </w:tcBorders>
            <w:shd w:val="clear" w:color="FFFFCC" w:fill="FFFFFF"/>
            <w:vAlign w:val="center"/>
            <w:hideMark/>
          </w:tcPr>
          <w:p w14:paraId="3A547FC6" w14:textId="77777777" w:rsidR="00236FFC" w:rsidRPr="00EA0795" w:rsidRDefault="00236FFC" w:rsidP="00236FFC">
            <w:pPr>
              <w:spacing w:after="0" w:line="240" w:lineRule="auto"/>
              <w:jc w:val="center"/>
              <w:rPr>
                <w:rFonts w:ascii="Arial" w:eastAsia="Times New Roman" w:hAnsi="Arial" w:cs="Arial"/>
                <w:b/>
                <w:bCs/>
                <w:color w:val="000000"/>
                <w:sz w:val="20"/>
                <w:szCs w:val="20"/>
                <w:lang w:val="en-GB" w:eastAsia="en-GB"/>
              </w:rPr>
            </w:pPr>
            <w:r w:rsidRPr="00EA0795">
              <w:rPr>
                <w:rFonts w:ascii="Arial" w:eastAsia="Times New Roman" w:hAnsi="Arial" w:cs="Arial"/>
                <w:b/>
                <w:bCs/>
                <w:color w:val="000000"/>
                <w:sz w:val="20"/>
                <w:szCs w:val="20"/>
                <w:lang w:val="en-GB" w:eastAsia="en-GB"/>
              </w:rPr>
              <w:t>Total</w:t>
            </w:r>
          </w:p>
        </w:tc>
        <w:tc>
          <w:tcPr>
            <w:tcW w:w="1239" w:type="dxa"/>
            <w:tcBorders>
              <w:top w:val="single" w:sz="8" w:space="0" w:color="A5A5A5"/>
              <w:left w:val="nil"/>
              <w:bottom w:val="single" w:sz="12" w:space="0" w:color="auto"/>
              <w:right w:val="nil"/>
            </w:tcBorders>
            <w:shd w:val="clear" w:color="FFFFCC" w:fill="FFFFFF"/>
            <w:vAlign w:val="bottom"/>
            <w:hideMark/>
          </w:tcPr>
          <w:p w14:paraId="56B69F54" w14:textId="52EB9DA8" w:rsidR="00236FFC" w:rsidRPr="00EA0795" w:rsidRDefault="00236FFC" w:rsidP="00236FFC">
            <w:pPr>
              <w:spacing w:after="0" w:line="240" w:lineRule="auto"/>
              <w:jc w:val="center"/>
              <w:rPr>
                <w:rFonts w:ascii="Arial" w:eastAsia="Times New Roman" w:hAnsi="Arial" w:cs="Arial"/>
                <w:b/>
                <w:bCs/>
                <w:color w:val="000000"/>
                <w:sz w:val="20"/>
                <w:szCs w:val="20"/>
                <w:lang w:val="en-GB" w:eastAsia="en-GB"/>
              </w:rPr>
            </w:pPr>
            <w:r>
              <w:rPr>
                <w:rFonts w:ascii="Arial" w:hAnsi="Arial" w:cs="Arial"/>
                <w:b/>
                <w:bCs/>
                <w:color w:val="000000"/>
                <w:sz w:val="20"/>
                <w:szCs w:val="20"/>
              </w:rPr>
              <w:t>28</w:t>
            </w:r>
            <w:r w:rsidR="00890F17">
              <w:rPr>
                <w:rFonts w:ascii="Arial" w:hAnsi="Arial" w:cs="Arial"/>
                <w:b/>
                <w:bCs/>
                <w:color w:val="000000"/>
                <w:sz w:val="20"/>
                <w:szCs w:val="20"/>
              </w:rPr>
              <w:t>8</w:t>
            </w:r>
          </w:p>
        </w:tc>
        <w:tc>
          <w:tcPr>
            <w:tcW w:w="1239" w:type="dxa"/>
            <w:tcBorders>
              <w:top w:val="single" w:sz="8" w:space="0" w:color="A5A5A5"/>
              <w:left w:val="nil"/>
              <w:bottom w:val="single" w:sz="12" w:space="0" w:color="auto"/>
              <w:right w:val="single" w:sz="8" w:space="0" w:color="A5A5A5"/>
            </w:tcBorders>
            <w:shd w:val="clear" w:color="FFFFCC" w:fill="FFFFFF"/>
            <w:vAlign w:val="bottom"/>
            <w:hideMark/>
          </w:tcPr>
          <w:p w14:paraId="370B2F89" w14:textId="293E85A7" w:rsidR="00236FFC" w:rsidRPr="00EA0795" w:rsidRDefault="00236FFC" w:rsidP="00236FFC">
            <w:pPr>
              <w:spacing w:after="0" w:line="240" w:lineRule="auto"/>
              <w:jc w:val="center"/>
              <w:rPr>
                <w:rFonts w:ascii="Arial" w:eastAsia="Times New Roman" w:hAnsi="Arial" w:cs="Arial"/>
                <w:b/>
                <w:bCs/>
                <w:color w:val="000000"/>
                <w:sz w:val="20"/>
                <w:szCs w:val="20"/>
                <w:lang w:val="en-GB" w:eastAsia="en-GB"/>
              </w:rPr>
            </w:pPr>
            <w:r>
              <w:rPr>
                <w:rFonts w:ascii="Arial" w:hAnsi="Arial" w:cs="Arial"/>
                <w:b/>
                <w:bCs/>
                <w:color w:val="000000"/>
                <w:sz w:val="20"/>
                <w:szCs w:val="20"/>
              </w:rPr>
              <w:t>100%</w:t>
            </w:r>
          </w:p>
        </w:tc>
        <w:tc>
          <w:tcPr>
            <w:tcW w:w="1239" w:type="dxa"/>
            <w:tcBorders>
              <w:top w:val="single" w:sz="8" w:space="0" w:color="A5A5A5"/>
              <w:left w:val="nil"/>
              <w:bottom w:val="single" w:sz="12" w:space="0" w:color="auto"/>
              <w:right w:val="nil"/>
            </w:tcBorders>
            <w:shd w:val="clear" w:color="FFFFCC" w:fill="FFFFFF"/>
            <w:vAlign w:val="bottom"/>
            <w:hideMark/>
          </w:tcPr>
          <w:p w14:paraId="432B6254" w14:textId="4E4D5CAB" w:rsidR="00236FFC" w:rsidRPr="00EA0795" w:rsidRDefault="00236FFC" w:rsidP="00236FFC">
            <w:pPr>
              <w:spacing w:after="0" w:line="240" w:lineRule="auto"/>
              <w:jc w:val="center"/>
              <w:rPr>
                <w:rFonts w:ascii="Arial" w:eastAsia="Times New Roman" w:hAnsi="Arial" w:cs="Arial"/>
                <w:b/>
                <w:bCs/>
                <w:color w:val="000000"/>
                <w:sz w:val="20"/>
                <w:szCs w:val="20"/>
                <w:lang w:val="en-GB" w:eastAsia="en-GB"/>
              </w:rPr>
            </w:pPr>
            <w:r>
              <w:rPr>
                <w:rFonts w:ascii="Arial" w:hAnsi="Arial" w:cs="Arial"/>
                <w:b/>
                <w:bCs/>
                <w:color w:val="000000"/>
                <w:sz w:val="20"/>
                <w:szCs w:val="20"/>
              </w:rPr>
              <w:t>32</w:t>
            </w:r>
          </w:p>
        </w:tc>
        <w:tc>
          <w:tcPr>
            <w:tcW w:w="1239" w:type="dxa"/>
            <w:tcBorders>
              <w:top w:val="single" w:sz="8" w:space="0" w:color="A5A5A5"/>
              <w:left w:val="nil"/>
              <w:bottom w:val="single" w:sz="12" w:space="0" w:color="auto"/>
              <w:right w:val="single" w:sz="8" w:space="0" w:color="A5A5A5"/>
            </w:tcBorders>
            <w:shd w:val="clear" w:color="FFFFCC" w:fill="FFFFFF"/>
            <w:vAlign w:val="bottom"/>
            <w:hideMark/>
          </w:tcPr>
          <w:p w14:paraId="7267F5E5" w14:textId="6D31D8DA" w:rsidR="00236FFC" w:rsidRPr="00EA0795" w:rsidRDefault="00236FFC" w:rsidP="00236FFC">
            <w:pPr>
              <w:spacing w:after="0" w:line="240" w:lineRule="auto"/>
              <w:jc w:val="center"/>
              <w:rPr>
                <w:rFonts w:ascii="Arial" w:eastAsia="Times New Roman" w:hAnsi="Arial" w:cs="Arial"/>
                <w:b/>
                <w:bCs/>
                <w:color w:val="000000"/>
                <w:sz w:val="20"/>
                <w:szCs w:val="20"/>
                <w:lang w:val="en-GB" w:eastAsia="en-GB"/>
              </w:rPr>
            </w:pPr>
            <w:r>
              <w:rPr>
                <w:rFonts w:ascii="Arial" w:hAnsi="Arial" w:cs="Arial"/>
                <w:b/>
                <w:bCs/>
                <w:color w:val="000000"/>
                <w:sz w:val="20"/>
                <w:szCs w:val="20"/>
              </w:rPr>
              <w:t>100%</w:t>
            </w:r>
          </w:p>
        </w:tc>
        <w:tc>
          <w:tcPr>
            <w:tcW w:w="1239" w:type="dxa"/>
            <w:tcBorders>
              <w:top w:val="single" w:sz="8" w:space="0" w:color="A5A5A5"/>
              <w:left w:val="nil"/>
              <w:bottom w:val="single" w:sz="12" w:space="0" w:color="auto"/>
              <w:right w:val="nil"/>
            </w:tcBorders>
            <w:shd w:val="clear" w:color="FFFFCC" w:fill="FFFFFF"/>
            <w:vAlign w:val="center"/>
            <w:hideMark/>
          </w:tcPr>
          <w:p w14:paraId="19515A0A" w14:textId="77777777" w:rsidR="00236FFC" w:rsidRPr="00EA0795" w:rsidRDefault="00236FFC" w:rsidP="00236FFC">
            <w:pPr>
              <w:spacing w:after="0" w:line="240" w:lineRule="auto"/>
              <w:jc w:val="center"/>
              <w:rPr>
                <w:rFonts w:ascii="Arial" w:eastAsia="Times New Roman" w:hAnsi="Arial" w:cs="Arial"/>
                <w:b/>
                <w:bCs/>
                <w:color w:val="000000"/>
                <w:sz w:val="20"/>
                <w:szCs w:val="20"/>
                <w:lang w:val="en-GB" w:eastAsia="en-GB"/>
              </w:rPr>
            </w:pPr>
            <w:r w:rsidRPr="00EA0795">
              <w:rPr>
                <w:rFonts w:ascii="Arial" w:eastAsia="Times New Roman" w:hAnsi="Arial" w:cs="Arial"/>
                <w:b/>
                <w:bCs/>
                <w:color w:val="000000"/>
                <w:sz w:val="20"/>
                <w:szCs w:val="20"/>
                <w:lang w:val="en-GB" w:eastAsia="en-GB"/>
              </w:rPr>
              <w:t>22</w:t>
            </w:r>
          </w:p>
        </w:tc>
        <w:tc>
          <w:tcPr>
            <w:tcW w:w="1239" w:type="dxa"/>
            <w:tcBorders>
              <w:top w:val="single" w:sz="8" w:space="0" w:color="A5A5A5"/>
              <w:left w:val="nil"/>
              <w:bottom w:val="single" w:sz="12" w:space="0" w:color="auto"/>
              <w:right w:val="single" w:sz="12" w:space="0" w:color="auto"/>
            </w:tcBorders>
            <w:shd w:val="clear" w:color="FFFFCC" w:fill="FFFFFF"/>
            <w:vAlign w:val="center"/>
            <w:hideMark/>
          </w:tcPr>
          <w:p w14:paraId="60F7F13F" w14:textId="77777777" w:rsidR="00236FFC" w:rsidRPr="00EA0795" w:rsidRDefault="00236FFC" w:rsidP="00236FFC">
            <w:pPr>
              <w:keepNext/>
              <w:spacing w:after="0" w:line="240" w:lineRule="auto"/>
              <w:jc w:val="center"/>
              <w:rPr>
                <w:rFonts w:ascii="Arial" w:eastAsia="Times New Roman" w:hAnsi="Arial" w:cs="Arial"/>
                <w:b/>
                <w:bCs/>
                <w:color w:val="000000"/>
                <w:sz w:val="20"/>
                <w:szCs w:val="20"/>
                <w:lang w:val="en-GB" w:eastAsia="en-GB"/>
              </w:rPr>
            </w:pPr>
            <w:r w:rsidRPr="00EA0795">
              <w:rPr>
                <w:rFonts w:ascii="Arial" w:eastAsia="Times New Roman" w:hAnsi="Arial" w:cs="Arial"/>
                <w:b/>
                <w:bCs/>
                <w:color w:val="000000"/>
                <w:sz w:val="20"/>
                <w:szCs w:val="20"/>
                <w:lang w:val="en-GB" w:eastAsia="en-GB"/>
              </w:rPr>
              <w:t>100%</w:t>
            </w:r>
          </w:p>
        </w:tc>
      </w:tr>
    </w:tbl>
    <w:p w14:paraId="0BF9214D" w14:textId="6CB3CD32" w:rsidR="005A1BFE" w:rsidRDefault="00027D8F" w:rsidP="00335219">
      <w:pPr>
        <w:pStyle w:val="Caption"/>
      </w:pPr>
      <w:bookmarkStart w:id="86" w:name="_Toc488087943"/>
      <w:bookmarkStart w:id="87" w:name="_Toc488087989"/>
      <w:bookmarkStart w:id="88" w:name="_Toc512556853"/>
      <w:r>
        <w:t xml:space="preserve">Figure </w:t>
      </w:r>
      <w:r>
        <w:fldChar w:fldCharType="begin"/>
      </w:r>
      <w:r>
        <w:instrText xml:space="preserve"> SEQ Figure \* ARABIC </w:instrText>
      </w:r>
      <w:r>
        <w:fldChar w:fldCharType="separate"/>
      </w:r>
      <w:r w:rsidR="0099156B">
        <w:rPr>
          <w:noProof/>
        </w:rPr>
        <w:t>4</w:t>
      </w:r>
      <w:r>
        <w:fldChar w:fldCharType="end"/>
      </w:r>
      <w:r>
        <w:t xml:space="preserve"> – Constituent countries S167 grades</w:t>
      </w:r>
      <w:bookmarkEnd w:id="86"/>
      <w:bookmarkEnd w:id="87"/>
      <w:bookmarkEnd w:id="88"/>
    </w:p>
    <w:p w14:paraId="15FAA80C" w14:textId="77777777" w:rsidR="00B477A2" w:rsidRDefault="00B477A2" w:rsidP="00335219">
      <w:pPr>
        <w:pStyle w:val="Caption"/>
      </w:pPr>
    </w:p>
    <w:p w14:paraId="74C33CA9" w14:textId="228690A4" w:rsidR="002A0182" w:rsidRDefault="002A0182" w:rsidP="00335219">
      <w:pPr>
        <w:pStyle w:val="Caption"/>
      </w:pPr>
      <w:bookmarkStart w:id="89" w:name="_Toc512556863"/>
      <w:r>
        <w:t xml:space="preserve">Table </w:t>
      </w:r>
      <w:r w:rsidR="00005B77">
        <w:fldChar w:fldCharType="begin"/>
      </w:r>
      <w:r w:rsidR="00005B77">
        <w:instrText xml:space="preserve"> SEQ Table \* ARABIC </w:instrText>
      </w:r>
      <w:r w:rsidR="00005B77">
        <w:fldChar w:fldCharType="separate"/>
      </w:r>
      <w:r w:rsidR="0099156B">
        <w:rPr>
          <w:noProof/>
        </w:rPr>
        <w:t>6</w:t>
      </w:r>
      <w:r w:rsidR="00005B77">
        <w:fldChar w:fldCharType="end"/>
      </w:r>
      <w:r>
        <w:t xml:space="preserve"> – Constituent countries</w:t>
      </w:r>
      <w:r w:rsidR="000573F2">
        <w:t>’</w:t>
      </w:r>
      <w:r>
        <w:t xml:space="preserve"> S167 grades</w:t>
      </w:r>
      <w:bookmarkEnd w:id="89"/>
    </w:p>
    <w:p w14:paraId="6F7F34FA" w14:textId="77777777" w:rsidR="005A1BFE" w:rsidRDefault="005A1BFE">
      <w:pPr>
        <w:spacing w:after="0" w:line="240" w:lineRule="auto"/>
        <w:jc w:val="left"/>
      </w:pPr>
    </w:p>
    <w:p w14:paraId="11D0AB37" w14:textId="11B39FF0" w:rsidR="00236FFC" w:rsidRDefault="00236FFC" w:rsidP="005A1BFE">
      <w:pPr>
        <w:jc w:val="left"/>
      </w:pPr>
      <w:r>
        <w:t xml:space="preserve">All Welsh authorities either have a S167 list or intend to create one at some point. This is in marked contrast to England, where 28% of authorities have </w:t>
      </w:r>
      <w:r w:rsidR="004A7F80">
        <w:t>not</w:t>
      </w:r>
      <w:r>
        <w:t xml:space="preserve"> decide</w:t>
      </w:r>
      <w:r w:rsidR="004A7F80">
        <w:t>d</w:t>
      </w:r>
      <w:r>
        <w:t xml:space="preserve"> to create a list, and Scotland, where 47% of authorities have </w:t>
      </w:r>
      <w:r w:rsidR="004A7F80">
        <w:t>not</w:t>
      </w:r>
      <w:r>
        <w:t xml:space="preserve"> decide</w:t>
      </w:r>
      <w:r w:rsidR="004A7F80">
        <w:t>d</w:t>
      </w:r>
      <w:r>
        <w:t xml:space="preserve"> to create a list</w:t>
      </w:r>
      <w:r w:rsidR="004A7F80">
        <w:t>.</w:t>
      </w:r>
    </w:p>
    <w:p w14:paraId="7FBA0E06" w14:textId="77777777" w:rsidR="000C3238" w:rsidRDefault="004A7F80" w:rsidP="000C3238">
      <w:pPr>
        <w:jc w:val="left"/>
      </w:pPr>
      <w:r>
        <w:t xml:space="preserve">It is notable that 38% of Scottish authorities have yet to reach any decision as to </w:t>
      </w:r>
      <w:r w:rsidR="00A25B62">
        <w:t>whether</w:t>
      </w:r>
      <w:r>
        <w:t xml:space="preserve"> </w:t>
      </w:r>
      <w:r w:rsidR="00A25B62">
        <w:t>they will</w:t>
      </w:r>
      <w:r>
        <w:t xml:space="preserve"> create a list.</w:t>
      </w:r>
      <w:bookmarkStart w:id="90" w:name="_Toc488088774"/>
      <w:bookmarkStart w:id="91" w:name="_Toc488093162"/>
    </w:p>
    <w:p w14:paraId="137292E9" w14:textId="77777777" w:rsidR="000C3238" w:rsidRDefault="000C3238">
      <w:pPr>
        <w:spacing w:after="0" w:line="240" w:lineRule="auto"/>
        <w:jc w:val="left"/>
      </w:pPr>
      <w:r>
        <w:br w:type="page"/>
      </w:r>
    </w:p>
    <w:p w14:paraId="546597A4" w14:textId="1FB8E695" w:rsidR="004A7F80" w:rsidRDefault="004A7F80" w:rsidP="000C3238">
      <w:pPr>
        <w:pStyle w:val="Heading2"/>
      </w:pPr>
      <w:bookmarkStart w:id="92" w:name="_Toc512556901"/>
      <w:r>
        <w:lastRenderedPageBreak/>
        <w:t>Changes in approach to S167</w:t>
      </w:r>
      <w:bookmarkEnd w:id="92"/>
    </w:p>
    <w:p w14:paraId="62B8B909" w14:textId="77777777" w:rsidR="009E434D" w:rsidRDefault="004A7F80" w:rsidP="009E434D">
      <w:pPr>
        <w:pStyle w:val="Caption"/>
        <w:keepNext/>
        <w:jc w:val="left"/>
      </w:pPr>
      <w:r>
        <w:rPr>
          <w:noProof/>
        </w:rPr>
        <w:drawing>
          <wp:anchor distT="0" distB="0" distL="114300" distR="114300" simplePos="0" relativeHeight="251832832" behindDoc="0" locked="0" layoutInCell="1" allowOverlap="1" wp14:anchorId="300EC076" wp14:editId="2D4A7265">
            <wp:simplePos x="0" y="0"/>
            <wp:positionH relativeFrom="column">
              <wp:posOffset>3061252</wp:posOffset>
            </wp:positionH>
            <wp:positionV relativeFrom="paragraph">
              <wp:posOffset>53644</wp:posOffset>
            </wp:positionV>
            <wp:extent cx="2703444" cy="3325495"/>
            <wp:effectExtent l="57150" t="38100" r="173355" b="179705"/>
            <wp:wrapNone/>
            <wp:docPr id="34" name="Chart 34">
              <a:extLst xmlns:a="http://schemas.openxmlformats.org/drawingml/2006/main">
                <a:ext uri="{FF2B5EF4-FFF2-40B4-BE49-F238E27FC236}">
                  <a16:creationId xmlns:a16="http://schemas.microsoft.com/office/drawing/2014/main" id="{15D52DAB-8733-4298-8ECC-C78F56C12C1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margin">
              <wp14:pctWidth>0</wp14:pctWidth>
            </wp14:sizeRelH>
          </wp:anchor>
        </w:drawing>
      </w:r>
      <w:r>
        <w:rPr>
          <w:noProof/>
        </w:rPr>
        <w:drawing>
          <wp:inline distT="0" distB="0" distL="0" distR="0" wp14:anchorId="13ED262A" wp14:editId="45FAA988">
            <wp:extent cx="2724150" cy="3339465"/>
            <wp:effectExtent l="57150" t="38100" r="171450" b="184785"/>
            <wp:docPr id="26" name="Chart 26">
              <a:extLst xmlns:a="http://schemas.openxmlformats.org/drawingml/2006/main">
                <a:ext uri="{FF2B5EF4-FFF2-40B4-BE49-F238E27FC236}">
                  <a16:creationId xmlns:a16="http://schemas.microsoft.com/office/drawing/2014/main" id="{545E6E12-2526-4757-8645-A30905038E8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47B2A6CC" w14:textId="29FBE049" w:rsidR="004A7F80" w:rsidRDefault="009E434D" w:rsidP="009E434D">
      <w:pPr>
        <w:pStyle w:val="Caption"/>
      </w:pPr>
      <w:bookmarkStart w:id="93" w:name="_Toc512556854"/>
      <w:r>
        <w:t xml:space="preserve">Figure </w:t>
      </w:r>
      <w:r>
        <w:fldChar w:fldCharType="begin"/>
      </w:r>
      <w:r>
        <w:instrText xml:space="preserve"> SEQ Figure \* ARABIC </w:instrText>
      </w:r>
      <w:r>
        <w:fldChar w:fldCharType="separate"/>
      </w:r>
      <w:r w:rsidR="0099156B">
        <w:rPr>
          <w:noProof/>
        </w:rPr>
        <w:t>5</w:t>
      </w:r>
      <w:r>
        <w:fldChar w:fldCharType="end"/>
      </w:r>
      <w:r>
        <w:t xml:space="preserve"> </w:t>
      </w:r>
      <w:r w:rsidR="000573F2">
        <w:t>–</w:t>
      </w:r>
      <w:r>
        <w:t xml:space="preserve"> Changes in S167 Intent and Grades</w:t>
      </w:r>
      <w:bookmarkEnd w:id="93"/>
    </w:p>
    <w:p w14:paraId="63176AF7" w14:textId="77777777" w:rsidR="000162D0" w:rsidRPr="000162D0" w:rsidRDefault="000162D0" w:rsidP="000162D0"/>
    <w:tbl>
      <w:tblPr>
        <w:tblW w:w="5020" w:type="dxa"/>
        <w:jc w:val="center"/>
        <w:tblLook w:val="04A0" w:firstRow="1" w:lastRow="0" w:firstColumn="1" w:lastColumn="0" w:noHBand="0" w:noVBand="1"/>
      </w:tblPr>
      <w:tblGrid>
        <w:gridCol w:w="1560"/>
        <w:gridCol w:w="1720"/>
        <w:gridCol w:w="1740"/>
      </w:tblGrid>
      <w:tr w:rsidR="000162D0" w:rsidRPr="000162D0" w14:paraId="4CBEBC00" w14:textId="77777777" w:rsidTr="000162D0">
        <w:trPr>
          <w:trHeight w:val="255"/>
          <w:jc w:val="center"/>
        </w:trPr>
        <w:tc>
          <w:tcPr>
            <w:tcW w:w="1560" w:type="dxa"/>
            <w:tcBorders>
              <w:top w:val="single" w:sz="4" w:space="0" w:color="757171"/>
              <w:left w:val="single" w:sz="4" w:space="0" w:color="757171"/>
              <w:bottom w:val="single" w:sz="4" w:space="0" w:color="757171"/>
              <w:right w:val="single" w:sz="4" w:space="0" w:color="757171"/>
            </w:tcBorders>
            <w:shd w:val="clear" w:color="000000" w:fill="FFFFFF"/>
            <w:noWrap/>
            <w:vAlign w:val="bottom"/>
            <w:hideMark/>
          </w:tcPr>
          <w:p w14:paraId="438EEDC2" w14:textId="77777777" w:rsidR="000162D0" w:rsidRPr="000162D0" w:rsidRDefault="000162D0" w:rsidP="000162D0">
            <w:pPr>
              <w:spacing w:after="0" w:line="240" w:lineRule="auto"/>
              <w:jc w:val="left"/>
              <w:rPr>
                <w:rFonts w:ascii="Arial" w:eastAsia="Times New Roman" w:hAnsi="Arial" w:cs="Arial"/>
                <w:b/>
                <w:bCs/>
                <w:color w:val="000000"/>
                <w:sz w:val="20"/>
                <w:szCs w:val="20"/>
                <w:lang w:val="en-GB" w:eastAsia="en-GB"/>
              </w:rPr>
            </w:pPr>
            <w:r w:rsidRPr="000162D0">
              <w:rPr>
                <w:rFonts w:ascii="Arial" w:eastAsia="Times New Roman" w:hAnsi="Arial" w:cs="Arial"/>
                <w:b/>
                <w:bCs/>
                <w:color w:val="000000"/>
                <w:sz w:val="20"/>
                <w:szCs w:val="20"/>
                <w:lang w:val="en-GB" w:eastAsia="en-GB"/>
              </w:rPr>
              <w:t>∆ S167 intent</w:t>
            </w:r>
          </w:p>
        </w:tc>
        <w:tc>
          <w:tcPr>
            <w:tcW w:w="1720" w:type="dxa"/>
            <w:tcBorders>
              <w:top w:val="single" w:sz="4" w:space="0" w:color="757171"/>
              <w:left w:val="single" w:sz="4" w:space="0" w:color="757171"/>
              <w:bottom w:val="single" w:sz="4" w:space="0" w:color="757171"/>
              <w:right w:val="single" w:sz="4" w:space="0" w:color="FFFFFF"/>
            </w:tcBorders>
            <w:shd w:val="clear" w:color="000000" w:fill="FFFFFF"/>
            <w:noWrap/>
            <w:vAlign w:val="bottom"/>
            <w:hideMark/>
          </w:tcPr>
          <w:p w14:paraId="5D440444" w14:textId="77777777" w:rsidR="000162D0" w:rsidRPr="000162D0" w:rsidRDefault="000162D0" w:rsidP="000162D0">
            <w:pPr>
              <w:spacing w:after="0" w:line="240" w:lineRule="auto"/>
              <w:jc w:val="left"/>
              <w:rPr>
                <w:rFonts w:ascii="Arial" w:eastAsia="Times New Roman" w:hAnsi="Arial" w:cs="Arial"/>
                <w:b/>
                <w:bCs/>
                <w:color w:val="000000"/>
                <w:sz w:val="20"/>
                <w:szCs w:val="20"/>
                <w:lang w:val="en-GB" w:eastAsia="en-GB"/>
              </w:rPr>
            </w:pPr>
            <w:r w:rsidRPr="000162D0">
              <w:rPr>
                <w:rFonts w:ascii="Arial" w:eastAsia="Times New Roman" w:hAnsi="Arial" w:cs="Arial"/>
                <w:b/>
                <w:bCs/>
                <w:color w:val="000000"/>
                <w:sz w:val="20"/>
                <w:szCs w:val="20"/>
                <w:lang w:val="en-GB" w:eastAsia="en-GB"/>
              </w:rPr>
              <w:t>∆ # Authorities</w:t>
            </w:r>
          </w:p>
        </w:tc>
        <w:tc>
          <w:tcPr>
            <w:tcW w:w="1740" w:type="dxa"/>
            <w:tcBorders>
              <w:top w:val="single" w:sz="4" w:space="0" w:color="757171"/>
              <w:left w:val="single" w:sz="4" w:space="0" w:color="FFFFFF"/>
              <w:bottom w:val="single" w:sz="4" w:space="0" w:color="757171"/>
              <w:right w:val="single" w:sz="4" w:space="0" w:color="757171"/>
            </w:tcBorders>
            <w:shd w:val="clear" w:color="000000" w:fill="FFFFFF"/>
            <w:noWrap/>
            <w:vAlign w:val="bottom"/>
            <w:hideMark/>
          </w:tcPr>
          <w:p w14:paraId="156487E9" w14:textId="77777777" w:rsidR="000162D0" w:rsidRPr="000162D0" w:rsidRDefault="000162D0" w:rsidP="000162D0">
            <w:pPr>
              <w:spacing w:after="0" w:line="240" w:lineRule="auto"/>
              <w:jc w:val="left"/>
              <w:rPr>
                <w:rFonts w:ascii="Arial" w:eastAsia="Times New Roman" w:hAnsi="Arial" w:cs="Arial"/>
                <w:b/>
                <w:bCs/>
                <w:color w:val="000000"/>
                <w:sz w:val="20"/>
                <w:szCs w:val="20"/>
                <w:lang w:val="en-GB" w:eastAsia="en-GB"/>
              </w:rPr>
            </w:pPr>
            <w:r w:rsidRPr="000162D0">
              <w:rPr>
                <w:rFonts w:ascii="Arial" w:eastAsia="Times New Roman" w:hAnsi="Arial" w:cs="Arial"/>
                <w:b/>
                <w:bCs/>
                <w:color w:val="000000"/>
                <w:sz w:val="20"/>
                <w:szCs w:val="20"/>
                <w:lang w:val="en-GB" w:eastAsia="en-GB"/>
              </w:rPr>
              <w:t>∆ % Authorities</w:t>
            </w:r>
          </w:p>
        </w:tc>
      </w:tr>
      <w:tr w:rsidR="000162D0" w:rsidRPr="000162D0" w14:paraId="1FBBDAFF" w14:textId="77777777" w:rsidTr="000162D0">
        <w:trPr>
          <w:trHeight w:val="255"/>
          <w:jc w:val="center"/>
        </w:trPr>
        <w:tc>
          <w:tcPr>
            <w:tcW w:w="1560" w:type="dxa"/>
            <w:tcBorders>
              <w:top w:val="single" w:sz="4" w:space="0" w:color="FFFFFF"/>
              <w:left w:val="single" w:sz="4" w:space="0" w:color="FFFFFF"/>
              <w:bottom w:val="single" w:sz="4" w:space="0" w:color="FFFFFF"/>
              <w:right w:val="single" w:sz="4" w:space="0" w:color="FFFFFF"/>
            </w:tcBorders>
            <w:shd w:val="clear" w:color="FFFFCC" w:fill="99BD66"/>
            <w:noWrap/>
            <w:vAlign w:val="bottom"/>
            <w:hideMark/>
          </w:tcPr>
          <w:p w14:paraId="4C3F3B58" w14:textId="77777777" w:rsidR="000162D0" w:rsidRPr="000162D0" w:rsidRDefault="000162D0" w:rsidP="000162D0">
            <w:pPr>
              <w:spacing w:after="0" w:line="240" w:lineRule="auto"/>
              <w:jc w:val="center"/>
              <w:rPr>
                <w:rFonts w:ascii="Arial" w:eastAsia="Times New Roman" w:hAnsi="Arial" w:cs="Arial"/>
                <w:b/>
                <w:bCs/>
                <w:color w:val="000000"/>
                <w:sz w:val="20"/>
                <w:szCs w:val="20"/>
                <w:lang w:val="en-GB" w:eastAsia="en-GB"/>
              </w:rPr>
            </w:pPr>
            <w:r w:rsidRPr="000162D0">
              <w:rPr>
                <w:rFonts w:ascii="Arial" w:eastAsia="Times New Roman" w:hAnsi="Arial" w:cs="Arial"/>
                <w:b/>
                <w:bCs/>
                <w:color w:val="000000"/>
                <w:sz w:val="20"/>
                <w:szCs w:val="20"/>
                <w:lang w:val="en-GB" w:eastAsia="en-GB"/>
              </w:rPr>
              <w:t>Yes</w:t>
            </w:r>
          </w:p>
        </w:tc>
        <w:tc>
          <w:tcPr>
            <w:tcW w:w="1720" w:type="dxa"/>
            <w:tcBorders>
              <w:top w:val="single" w:sz="4" w:space="0" w:color="FFFFFF"/>
              <w:left w:val="single" w:sz="4" w:space="0" w:color="FFFFFF"/>
              <w:bottom w:val="single" w:sz="4" w:space="0" w:color="FFFFFF"/>
              <w:right w:val="single" w:sz="4" w:space="0" w:color="FFFFFF"/>
            </w:tcBorders>
            <w:shd w:val="clear" w:color="FFFFCC" w:fill="FFFFFF"/>
            <w:noWrap/>
            <w:vAlign w:val="bottom"/>
            <w:hideMark/>
          </w:tcPr>
          <w:p w14:paraId="30D475A9" w14:textId="77777777" w:rsidR="000162D0" w:rsidRPr="000162D0" w:rsidRDefault="000162D0" w:rsidP="000162D0">
            <w:pPr>
              <w:spacing w:after="0" w:line="240" w:lineRule="auto"/>
              <w:jc w:val="center"/>
              <w:rPr>
                <w:rFonts w:ascii="Arial" w:eastAsia="Times New Roman" w:hAnsi="Arial" w:cs="Arial"/>
                <w:color w:val="0070C0"/>
                <w:sz w:val="20"/>
                <w:szCs w:val="20"/>
                <w:lang w:val="en-GB" w:eastAsia="en-GB"/>
              </w:rPr>
            </w:pPr>
            <w:r w:rsidRPr="000162D0">
              <w:rPr>
                <w:rFonts w:ascii="Arial" w:eastAsia="Times New Roman" w:hAnsi="Arial" w:cs="Arial"/>
                <w:color w:val="0070C0"/>
                <w:sz w:val="20"/>
                <w:szCs w:val="20"/>
                <w:lang w:val="en-GB" w:eastAsia="en-GB"/>
              </w:rPr>
              <w:t>+28</w:t>
            </w:r>
          </w:p>
        </w:tc>
        <w:tc>
          <w:tcPr>
            <w:tcW w:w="1740" w:type="dxa"/>
            <w:tcBorders>
              <w:top w:val="single" w:sz="4" w:space="0" w:color="FFFFFF"/>
              <w:left w:val="single" w:sz="4" w:space="0" w:color="FFFFFF"/>
              <w:bottom w:val="single" w:sz="4" w:space="0" w:color="FFFFFF"/>
              <w:right w:val="single" w:sz="4" w:space="0" w:color="FFFFFF"/>
            </w:tcBorders>
            <w:shd w:val="clear" w:color="FFFFCC" w:fill="FFFFFF"/>
            <w:noWrap/>
            <w:vAlign w:val="bottom"/>
            <w:hideMark/>
          </w:tcPr>
          <w:p w14:paraId="61B2B44D" w14:textId="77777777" w:rsidR="000162D0" w:rsidRPr="000162D0" w:rsidRDefault="000162D0" w:rsidP="000162D0">
            <w:pPr>
              <w:spacing w:after="0" w:line="240" w:lineRule="auto"/>
              <w:jc w:val="center"/>
              <w:rPr>
                <w:rFonts w:ascii="Arial" w:eastAsia="Times New Roman" w:hAnsi="Arial" w:cs="Arial"/>
                <w:color w:val="0070C0"/>
                <w:sz w:val="20"/>
                <w:szCs w:val="20"/>
                <w:lang w:val="en-GB" w:eastAsia="en-GB"/>
              </w:rPr>
            </w:pPr>
            <w:r w:rsidRPr="000162D0">
              <w:rPr>
                <w:rFonts w:ascii="Arial" w:eastAsia="Times New Roman" w:hAnsi="Arial" w:cs="Arial"/>
                <w:color w:val="0070C0"/>
                <w:sz w:val="20"/>
                <w:szCs w:val="20"/>
                <w:lang w:val="en-GB" w:eastAsia="en-GB"/>
              </w:rPr>
              <w:t>+9%</w:t>
            </w:r>
          </w:p>
        </w:tc>
      </w:tr>
      <w:tr w:rsidR="000162D0" w:rsidRPr="000162D0" w14:paraId="18DE7DFA" w14:textId="77777777" w:rsidTr="000162D0">
        <w:trPr>
          <w:trHeight w:val="255"/>
          <w:jc w:val="center"/>
        </w:trPr>
        <w:tc>
          <w:tcPr>
            <w:tcW w:w="1560" w:type="dxa"/>
            <w:tcBorders>
              <w:top w:val="single" w:sz="4" w:space="0" w:color="FFFFFF"/>
              <w:left w:val="single" w:sz="4" w:space="0" w:color="FFFFFF"/>
              <w:bottom w:val="single" w:sz="4" w:space="0" w:color="FFFFFF"/>
              <w:right w:val="single" w:sz="4" w:space="0" w:color="FFFFFF"/>
            </w:tcBorders>
            <w:shd w:val="clear" w:color="FFFFCC" w:fill="FF7D67"/>
            <w:noWrap/>
            <w:vAlign w:val="bottom"/>
            <w:hideMark/>
          </w:tcPr>
          <w:p w14:paraId="04CD2721" w14:textId="77777777" w:rsidR="000162D0" w:rsidRPr="000162D0" w:rsidRDefault="000162D0" w:rsidP="000162D0">
            <w:pPr>
              <w:spacing w:after="0" w:line="240" w:lineRule="auto"/>
              <w:jc w:val="center"/>
              <w:rPr>
                <w:rFonts w:ascii="Arial" w:eastAsia="Times New Roman" w:hAnsi="Arial" w:cs="Arial"/>
                <w:b/>
                <w:bCs/>
                <w:color w:val="000000"/>
                <w:sz w:val="20"/>
                <w:szCs w:val="20"/>
                <w:lang w:val="en-GB" w:eastAsia="en-GB"/>
              </w:rPr>
            </w:pPr>
            <w:r w:rsidRPr="000162D0">
              <w:rPr>
                <w:rFonts w:ascii="Arial" w:eastAsia="Times New Roman" w:hAnsi="Arial" w:cs="Arial"/>
                <w:b/>
                <w:bCs/>
                <w:color w:val="000000"/>
                <w:sz w:val="20"/>
                <w:szCs w:val="20"/>
                <w:lang w:val="en-GB" w:eastAsia="en-GB"/>
              </w:rPr>
              <w:t>No</w:t>
            </w:r>
          </w:p>
        </w:tc>
        <w:tc>
          <w:tcPr>
            <w:tcW w:w="1720" w:type="dxa"/>
            <w:tcBorders>
              <w:top w:val="single" w:sz="4" w:space="0" w:color="FFFFFF"/>
              <w:left w:val="single" w:sz="4" w:space="0" w:color="FFFFFF"/>
              <w:bottom w:val="single" w:sz="4" w:space="0" w:color="FFFFFF"/>
              <w:right w:val="single" w:sz="4" w:space="0" w:color="FFFFFF"/>
            </w:tcBorders>
            <w:shd w:val="clear" w:color="FFFFCC" w:fill="FFFFFF"/>
            <w:noWrap/>
            <w:vAlign w:val="bottom"/>
            <w:hideMark/>
          </w:tcPr>
          <w:p w14:paraId="4D62E332" w14:textId="4552A75F" w:rsidR="000162D0" w:rsidRPr="000162D0" w:rsidRDefault="000162D0" w:rsidP="000162D0">
            <w:pPr>
              <w:spacing w:after="0" w:line="240" w:lineRule="auto"/>
              <w:jc w:val="center"/>
              <w:rPr>
                <w:rFonts w:ascii="Arial" w:eastAsia="Times New Roman" w:hAnsi="Arial" w:cs="Arial"/>
                <w:color w:val="C00000"/>
                <w:sz w:val="20"/>
                <w:szCs w:val="20"/>
                <w:lang w:val="en-GB" w:eastAsia="en-GB"/>
              </w:rPr>
            </w:pPr>
            <w:r w:rsidRPr="000162D0">
              <w:rPr>
                <w:rFonts w:ascii="Arial" w:eastAsia="Times New Roman" w:hAnsi="Arial" w:cs="Arial"/>
                <w:color w:val="C00000"/>
                <w:sz w:val="20"/>
                <w:szCs w:val="20"/>
                <w:lang w:val="en-GB" w:eastAsia="en-GB"/>
              </w:rPr>
              <w:t>-3</w:t>
            </w:r>
            <w:r w:rsidR="00A25B62">
              <w:rPr>
                <w:rFonts w:ascii="Arial" w:eastAsia="Times New Roman" w:hAnsi="Arial" w:cs="Arial"/>
                <w:color w:val="C00000"/>
                <w:sz w:val="20"/>
                <w:szCs w:val="20"/>
                <w:lang w:val="en-GB" w:eastAsia="en-GB"/>
              </w:rPr>
              <w:t>3</w:t>
            </w:r>
          </w:p>
        </w:tc>
        <w:tc>
          <w:tcPr>
            <w:tcW w:w="1740" w:type="dxa"/>
            <w:tcBorders>
              <w:top w:val="single" w:sz="4" w:space="0" w:color="FFFFFF"/>
              <w:left w:val="single" w:sz="4" w:space="0" w:color="FFFFFF"/>
              <w:bottom w:val="single" w:sz="4" w:space="0" w:color="FFFFFF"/>
              <w:right w:val="single" w:sz="4" w:space="0" w:color="FFFFFF"/>
            </w:tcBorders>
            <w:shd w:val="clear" w:color="FFFFCC" w:fill="FFFFFF"/>
            <w:noWrap/>
            <w:vAlign w:val="bottom"/>
            <w:hideMark/>
          </w:tcPr>
          <w:p w14:paraId="65B2D692" w14:textId="77777777" w:rsidR="000162D0" w:rsidRPr="000162D0" w:rsidRDefault="000162D0" w:rsidP="000162D0">
            <w:pPr>
              <w:spacing w:after="0" w:line="240" w:lineRule="auto"/>
              <w:jc w:val="center"/>
              <w:rPr>
                <w:rFonts w:ascii="Arial" w:eastAsia="Times New Roman" w:hAnsi="Arial" w:cs="Arial"/>
                <w:color w:val="C00000"/>
                <w:sz w:val="20"/>
                <w:szCs w:val="20"/>
                <w:lang w:val="en-GB" w:eastAsia="en-GB"/>
              </w:rPr>
            </w:pPr>
            <w:r w:rsidRPr="000162D0">
              <w:rPr>
                <w:rFonts w:ascii="Arial" w:eastAsia="Times New Roman" w:hAnsi="Arial" w:cs="Arial"/>
                <w:color w:val="C00000"/>
                <w:sz w:val="20"/>
                <w:szCs w:val="20"/>
                <w:lang w:val="en-GB" w:eastAsia="en-GB"/>
              </w:rPr>
              <w:t>-9%</w:t>
            </w:r>
          </w:p>
        </w:tc>
      </w:tr>
    </w:tbl>
    <w:p w14:paraId="419A2D58" w14:textId="7E420A7B" w:rsidR="000162D0" w:rsidRDefault="000162D0" w:rsidP="000162D0"/>
    <w:tbl>
      <w:tblPr>
        <w:tblW w:w="5020" w:type="dxa"/>
        <w:jc w:val="center"/>
        <w:tblLook w:val="04A0" w:firstRow="1" w:lastRow="0" w:firstColumn="1" w:lastColumn="0" w:noHBand="0" w:noVBand="1"/>
      </w:tblPr>
      <w:tblGrid>
        <w:gridCol w:w="1560"/>
        <w:gridCol w:w="1720"/>
        <w:gridCol w:w="1740"/>
      </w:tblGrid>
      <w:tr w:rsidR="000162D0" w:rsidRPr="000162D0" w14:paraId="3432A3D7" w14:textId="77777777" w:rsidTr="000162D0">
        <w:trPr>
          <w:trHeight w:val="255"/>
          <w:jc w:val="center"/>
        </w:trPr>
        <w:tc>
          <w:tcPr>
            <w:tcW w:w="1560" w:type="dxa"/>
            <w:tcBorders>
              <w:top w:val="single" w:sz="4" w:space="0" w:color="757171"/>
              <w:left w:val="single" w:sz="4" w:space="0" w:color="757171"/>
              <w:bottom w:val="single" w:sz="4" w:space="0" w:color="757171"/>
              <w:right w:val="single" w:sz="4" w:space="0" w:color="757171"/>
            </w:tcBorders>
            <w:shd w:val="clear" w:color="000000" w:fill="FFFFFF"/>
            <w:noWrap/>
            <w:vAlign w:val="bottom"/>
            <w:hideMark/>
          </w:tcPr>
          <w:p w14:paraId="7D421918" w14:textId="77777777" w:rsidR="000162D0" w:rsidRPr="000162D0" w:rsidRDefault="000162D0" w:rsidP="000162D0">
            <w:pPr>
              <w:spacing w:after="0" w:line="240" w:lineRule="auto"/>
              <w:jc w:val="left"/>
              <w:rPr>
                <w:rFonts w:ascii="Arial" w:eastAsia="Times New Roman" w:hAnsi="Arial" w:cs="Arial"/>
                <w:b/>
                <w:bCs/>
                <w:color w:val="000000"/>
                <w:sz w:val="20"/>
                <w:szCs w:val="20"/>
                <w:lang w:val="en-GB" w:eastAsia="en-GB"/>
              </w:rPr>
            </w:pPr>
            <w:r w:rsidRPr="000162D0">
              <w:rPr>
                <w:rFonts w:ascii="Arial" w:eastAsia="Times New Roman" w:hAnsi="Arial" w:cs="Arial"/>
                <w:b/>
                <w:bCs/>
                <w:color w:val="000000"/>
                <w:sz w:val="20"/>
                <w:szCs w:val="20"/>
                <w:lang w:val="en-GB" w:eastAsia="en-GB"/>
              </w:rPr>
              <w:t>∆ S167 grade</w:t>
            </w:r>
          </w:p>
        </w:tc>
        <w:tc>
          <w:tcPr>
            <w:tcW w:w="1720" w:type="dxa"/>
            <w:tcBorders>
              <w:top w:val="single" w:sz="4" w:space="0" w:color="757171"/>
              <w:left w:val="single" w:sz="4" w:space="0" w:color="757171"/>
              <w:bottom w:val="single" w:sz="4" w:space="0" w:color="757171"/>
              <w:right w:val="single" w:sz="4" w:space="0" w:color="FFFFFF"/>
            </w:tcBorders>
            <w:shd w:val="clear" w:color="000000" w:fill="FFFFFF"/>
            <w:noWrap/>
            <w:vAlign w:val="bottom"/>
            <w:hideMark/>
          </w:tcPr>
          <w:p w14:paraId="6BC99E42" w14:textId="77777777" w:rsidR="000162D0" w:rsidRPr="000162D0" w:rsidRDefault="000162D0" w:rsidP="000162D0">
            <w:pPr>
              <w:spacing w:after="0" w:line="240" w:lineRule="auto"/>
              <w:jc w:val="left"/>
              <w:rPr>
                <w:rFonts w:ascii="Arial" w:eastAsia="Times New Roman" w:hAnsi="Arial" w:cs="Arial"/>
                <w:b/>
                <w:bCs/>
                <w:color w:val="000000"/>
                <w:sz w:val="20"/>
                <w:szCs w:val="20"/>
                <w:lang w:val="en-GB" w:eastAsia="en-GB"/>
              </w:rPr>
            </w:pPr>
            <w:r w:rsidRPr="000162D0">
              <w:rPr>
                <w:rFonts w:ascii="Arial" w:eastAsia="Times New Roman" w:hAnsi="Arial" w:cs="Arial"/>
                <w:b/>
                <w:bCs/>
                <w:color w:val="000000"/>
                <w:sz w:val="20"/>
                <w:szCs w:val="20"/>
                <w:lang w:val="en-GB" w:eastAsia="en-GB"/>
              </w:rPr>
              <w:t>∆ # Authorities</w:t>
            </w:r>
          </w:p>
        </w:tc>
        <w:tc>
          <w:tcPr>
            <w:tcW w:w="1740" w:type="dxa"/>
            <w:tcBorders>
              <w:top w:val="single" w:sz="4" w:space="0" w:color="757171"/>
              <w:left w:val="single" w:sz="4" w:space="0" w:color="FFFFFF"/>
              <w:bottom w:val="single" w:sz="4" w:space="0" w:color="757171"/>
              <w:right w:val="single" w:sz="4" w:space="0" w:color="757171"/>
            </w:tcBorders>
            <w:shd w:val="clear" w:color="000000" w:fill="FFFFFF"/>
            <w:noWrap/>
            <w:vAlign w:val="bottom"/>
            <w:hideMark/>
          </w:tcPr>
          <w:p w14:paraId="30C94396" w14:textId="77777777" w:rsidR="000162D0" w:rsidRPr="000162D0" w:rsidRDefault="000162D0" w:rsidP="000162D0">
            <w:pPr>
              <w:spacing w:after="0" w:line="240" w:lineRule="auto"/>
              <w:jc w:val="left"/>
              <w:rPr>
                <w:rFonts w:ascii="Arial" w:eastAsia="Times New Roman" w:hAnsi="Arial" w:cs="Arial"/>
                <w:b/>
                <w:bCs/>
                <w:color w:val="000000"/>
                <w:sz w:val="20"/>
                <w:szCs w:val="20"/>
                <w:lang w:val="en-GB" w:eastAsia="en-GB"/>
              </w:rPr>
            </w:pPr>
            <w:r w:rsidRPr="000162D0">
              <w:rPr>
                <w:rFonts w:ascii="Arial" w:eastAsia="Times New Roman" w:hAnsi="Arial" w:cs="Arial"/>
                <w:b/>
                <w:bCs/>
                <w:color w:val="000000"/>
                <w:sz w:val="20"/>
                <w:szCs w:val="20"/>
                <w:lang w:val="en-GB" w:eastAsia="en-GB"/>
              </w:rPr>
              <w:t>∆ % Authorities</w:t>
            </w:r>
          </w:p>
        </w:tc>
      </w:tr>
      <w:tr w:rsidR="000162D0" w:rsidRPr="000162D0" w14:paraId="16ED4132" w14:textId="77777777" w:rsidTr="000162D0">
        <w:trPr>
          <w:trHeight w:val="255"/>
          <w:jc w:val="center"/>
        </w:trPr>
        <w:tc>
          <w:tcPr>
            <w:tcW w:w="1560" w:type="dxa"/>
            <w:tcBorders>
              <w:top w:val="single" w:sz="4" w:space="0" w:color="FFFFFF"/>
              <w:left w:val="single" w:sz="4" w:space="0" w:color="FFFFFF"/>
              <w:bottom w:val="single" w:sz="4" w:space="0" w:color="FFFFFF"/>
              <w:right w:val="single" w:sz="4" w:space="0" w:color="FFFFFF"/>
            </w:tcBorders>
            <w:shd w:val="clear" w:color="FFFFCC" w:fill="B0CC66"/>
            <w:noWrap/>
            <w:vAlign w:val="bottom"/>
            <w:hideMark/>
          </w:tcPr>
          <w:p w14:paraId="15C43A7C" w14:textId="77777777" w:rsidR="000162D0" w:rsidRPr="000162D0" w:rsidRDefault="000162D0" w:rsidP="000162D0">
            <w:pPr>
              <w:spacing w:after="0" w:line="240" w:lineRule="auto"/>
              <w:jc w:val="center"/>
              <w:rPr>
                <w:rFonts w:ascii="Arial" w:eastAsia="Times New Roman" w:hAnsi="Arial" w:cs="Arial"/>
                <w:b/>
                <w:bCs/>
                <w:color w:val="375623"/>
                <w:sz w:val="20"/>
                <w:szCs w:val="20"/>
                <w:lang w:val="en-GB" w:eastAsia="en-GB"/>
              </w:rPr>
            </w:pPr>
            <w:r w:rsidRPr="000162D0">
              <w:rPr>
                <w:rFonts w:ascii="Arial" w:eastAsia="Times New Roman" w:hAnsi="Arial" w:cs="Arial"/>
                <w:b/>
                <w:bCs/>
                <w:color w:val="375623"/>
                <w:sz w:val="20"/>
                <w:szCs w:val="20"/>
                <w:lang w:val="en-GB" w:eastAsia="en-GB"/>
              </w:rPr>
              <w:t>A</w:t>
            </w:r>
          </w:p>
        </w:tc>
        <w:tc>
          <w:tcPr>
            <w:tcW w:w="1720" w:type="dxa"/>
            <w:tcBorders>
              <w:top w:val="single" w:sz="4" w:space="0" w:color="757171"/>
              <w:left w:val="single" w:sz="4" w:space="0" w:color="FFFFFF"/>
              <w:bottom w:val="single" w:sz="4" w:space="0" w:color="FFFFFF"/>
              <w:right w:val="single" w:sz="4" w:space="0" w:color="FFFFFF"/>
            </w:tcBorders>
            <w:shd w:val="clear" w:color="FFFFCC" w:fill="FFFFFF"/>
            <w:noWrap/>
            <w:vAlign w:val="bottom"/>
            <w:hideMark/>
          </w:tcPr>
          <w:p w14:paraId="2404768C" w14:textId="77777777" w:rsidR="000162D0" w:rsidRPr="000162D0" w:rsidRDefault="000162D0" w:rsidP="000162D0">
            <w:pPr>
              <w:spacing w:after="0" w:line="240" w:lineRule="auto"/>
              <w:jc w:val="center"/>
              <w:rPr>
                <w:rFonts w:ascii="Arial" w:eastAsia="Times New Roman" w:hAnsi="Arial" w:cs="Arial"/>
                <w:color w:val="0070C0"/>
                <w:sz w:val="20"/>
                <w:szCs w:val="20"/>
                <w:lang w:val="en-GB" w:eastAsia="en-GB"/>
              </w:rPr>
            </w:pPr>
            <w:r w:rsidRPr="000162D0">
              <w:rPr>
                <w:rFonts w:ascii="Arial" w:eastAsia="Times New Roman" w:hAnsi="Arial" w:cs="Arial"/>
                <w:color w:val="0070C0"/>
                <w:sz w:val="20"/>
                <w:szCs w:val="20"/>
                <w:lang w:val="en-GB" w:eastAsia="en-GB"/>
              </w:rPr>
              <w:t>+80</w:t>
            </w:r>
          </w:p>
        </w:tc>
        <w:tc>
          <w:tcPr>
            <w:tcW w:w="1740" w:type="dxa"/>
            <w:tcBorders>
              <w:top w:val="single" w:sz="4" w:space="0" w:color="757171"/>
              <w:left w:val="single" w:sz="4" w:space="0" w:color="FFFFFF"/>
              <w:bottom w:val="single" w:sz="4" w:space="0" w:color="FFFFFF"/>
              <w:right w:val="single" w:sz="4" w:space="0" w:color="FFFFFF"/>
            </w:tcBorders>
            <w:shd w:val="clear" w:color="FFFFCC" w:fill="FFFFFF"/>
            <w:noWrap/>
            <w:vAlign w:val="bottom"/>
            <w:hideMark/>
          </w:tcPr>
          <w:p w14:paraId="5A44A7FB" w14:textId="77777777" w:rsidR="000162D0" w:rsidRPr="000162D0" w:rsidRDefault="000162D0" w:rsidP="000162D0">
            <w:pPr>
              <w:spacing w:after="0" w:line="240" w:lineRule="auto"/>
              <w:jc w:val="center"/>
              <w:rPr>
                <w:rFonts w:ascii="Arial" w:eastAsia="Times New Roman" w:hAnsi="Arial" w:cs="Arial"/>
                <w:color w:val="0070C0"/>
                <w:sz w:val="20"/>
                <w:szCs w:val="20"/>
                <w:lang w:val="en-GB" w:eastAsia="en-GB"/>
              </w:rPr>
            </w:pPr>
            <w:r w:rsidRPr="000162D0">
              <w:rPr>
                <w:rFonts w:ascii="Arial" w:eastAsia="Times New Roman" w:hAnsi="Arial" w:cs="Arial"/>
                <w:color w:val="0070C0"/>
                <w:sz w:val="20"/>
                <w:szCs w:val="20"/>
                <w:lang w:val="en-GB" w:eastAsia="en-GB"/>
              </w:rPr>
              <w:t>+24%</w:t>
            </w:r>
          </w:p>
        </w:tc>
      </w:tr>
      <w:tr w:rsidR="000162D0" w:rsidRPr="000162D0" w14:paraId="59BB7919" w14:textId="77777777" w:rsidTr="000162D0">
        <w:trPr>
          <w:trHeight w:val="255"/>
          <w:jc w:val="center"/>
        </w:trPr>
        <w:tc>
          <w:tcPr>
            <w:tcW w:w="1560" w:type="dxa"/>
            <w:tcBorders>
              <w:top w:val="single" w:sz="4" w:space="0" w:color="FFFFFF"/>
              <w:left w:val="single" w:sz="4" w:space="0" w:color="FFFFFF"/>
              <w:bottom w:val="single" w:sz="4" w:space="0" w:color="FFFFFF"/>
              <w:right w:val="single" w:sz="4" w:space="0" w:color="FFFFFF"/>
            </w:tcBorders>
            <w:shd w:val="clear" w:color="FFFFCC" w:fill="C1FFC1"/>
            <w:noWrap/>
            <w:vAlign w:val="bottom"/>
            <w:hideMark/>
          </w:tcPr>
          <w:p w14:paraId="26EADC0E" w14:textId="77777777" w:rsidR="000162D0" w:rsidRPr="000162D0" w:rsidRDefault="000162D0" w:rsidP="000162D0">
            <w:pPr>
              <w:spacing w:after="0" w:line="240" w:lineRule="auto"/>
              <w:jc w:val="center"/>
              <w:rPr>
                <w:rFonts w:ascii="Arial" w:eastAsia="Times New Roman" w:hAnsi="Arial" w:cs="Arial"/>
                <w:b/>
                <w:bCs/>
                <w:color w:val="375623"/>
                <w:sz w:val="20"/>
                <w:szCs w:val="20"/>
                <w:lang w:val="en-GB" w:eastAsia="en-GB"/>
              </w:rPr>
            </w:pPr>
            <w:r w:rsidRPr="000162D0">
              <w:rPr>
                <w:rFonts w:ascii="Arial" w:eastAsia="Times New Roman" w:hAnsi="Arial" w:cs="Arial"/>
                <w:b/>
                <w:bCs/>
                <w:color w:val="375623"/>
                <w:sz w:val="20"/>
                <w:szCs w:val="20"/>
                <w:lang w:val="en-GB" w:eastAsia="en-GB"/>
              </w:rPr>
              <w:t>B</w:t>
            </w:r>
          </w:p>
        </w:tc>
        <w:tc>
          <w:tcPr>
            <w:tcW w:w="1720" w:type="dxa"/>
            <w:tcBorders>
              <w:top w:val="single" w:sz="4" w:space="0" w:color="FFFFFF"/>
              <w:left w:val="single" w:sz="4" w:space="0" w:color="FFFFFF"/>
              <w:bottom w:val="single" w:sz="4" w:space="0" w:color="FFFFFF"/>
              <w:right w:val="single" w:sz="4" w:space="0" w:color="FFFFFF"/>
            </w:tcBorders>
            <w:shd w:val="clear" w:color="FFFFCC" w:fill="FFFFFF"/>
            <w:noWrap/>
            <w:vAlign w:val="bottom"/>
            <w:hideMark/>
          </w:tcPr>
          <w:p w14:paraId="1B08C41A" w14:textId="77777777" w:rsidR="000162D0" w:rsidRPr="000162D0" w:rsidRDefault="000162D0" w:rsidP="000162D0">
            <w:pPr>
              <w:spacing w:after="0" w:line="240" w:lineRule="auto"/>
              <w:jc w:val="center"/>
              <w:rPr>
                <w:rFonts w:ascii="Arial" w:eastAsia="Times New Roman" w:hAnsi="Arial" w:cs="Arial"/>
                <w:color w:val="C00000"/>
                <w:sz w:val="20"/>
                <w:szCs w:val="20"/>
                <w:lang w:val="en-GB" w:eastAsia="en-GB"/>
              </w:rPr>
            </w:pPr>
            <w:r w:rsidRPr="000162D0">
              <w:rPr>
                <w:rFonts w:ascii="Arial" w:eastAsia="Times New Roman" w:hAnsi="Arial" w:cs="Arial"/>
                <w:color w:val="C00000"/>
                <w:sz w:val="20"/>
                <w:szCs w:val="20"/>
                <w:lang w:val="en-GB" w:eastAsia="en-GB"/>
              </w:rPr>
              <w:t>-52</w:t>
            </w:r>
          </w:p>
        </w:tc>
        <w:tc>
          <w:tcPr>
            <w:tcW w:w="1740" w:type="dxa"/>
            <w:tcBorders>
              <w:top w:val="single" w:sz="4" w:space="0" w:color="FFFFFF"/>
              <w:left w:val="single" w:sz="4" w:space="0" w:color="FFFFFF"/>
              <w:bottom w:val="single" w:sz="4" w:space="0" w:color="FFFFFF"/>
              <w:right w:val="single" w:sz="4" w:space="0" w:color="FFFFFF"/>
            </w:tcBorders>
            <w:shd w:val="clear" w:color="FFFFCC" w:fill="FFFFFF"/>
            <w:noWrap/>
            <w:vAlign w:val="bottom"/>
            <w:hideMark/>
          </w:tcPr>
          <w:p w14:paraId="3A57EA12" w14:textId="77777777" w:rsidR="000162D0" w:rsidRPr="000162D0" w:rsidRDefault="000162D0" w:rsidP="000162D0">
            <w:pPr>
              <w:spacing w:after="0" w:line="240" w:lineRule="auto"/>
              <w:jc w:val="center"/>
              <w:rPr>
                <w:rFonts w:ascii="Arial" w:eastAsia="Times New Roman" w:hAnsi="Arial" w:cs="Arial"/>
                <w:color w:val="C00000"/>
                <w:sz w:val="20"/>
                <w:szCs w:val="20"/>
                <w:lang w:val="en-GB" w:eastAsia="en-GB"/>
              </w:rPr>
            </w:pPr>
            <w:r w:rsidRPr="000162D0">
              <w:rPr>
                <w:rFonts w:ascii="Arial" w:eastAsia="Times New Roman" w:hAnsi="Arial" w:cs="Arial"/>
                <w:color w:val="C00000"/>
                <w:sz w:val="20"/>
                <w:szCs w:val="20"/>
                <w:lang w:val="en-GB" w:eastAsia="en-GB"/>
              </w:rPr>
              <w:t>-15%</w:t>
            </w:r>
          </w:p>
        </w:tc>
      </w:tr>
      <w:tr w:rsidR="000162D0" w:rsidRPr="000162D0" w14:paraId="12EDA619" w14:textId="77777777" w:rsidTr="000162D0">
        <w:trPr>
          <w:trHeight w:val="255"/>
          <w:jc w:val="center"/>
        </w:trPr>
        <w:tc>
          <w:tcPr>
            <w:tcW w:w="1560" w:type="dxa"/>
            <w:tcBorders>
              <w:top w:val="single" w:sz="4" w:space="0" w:color="FFFFFF"/>
              <w:left w:val="single" w:sz="4" w:space="0" w:color="FFFFFF"/>
              <w:bottom w:val="single" w:sz="4" w:space="0" w:color="FFFFFF"/>
              <w:right w:val="single" w:sz="4" w:space="0" w:color="FFFFFF"/>
            </w:tcBorders>
            <w:shd w:val="clear" w:color="FFFFCC" w:fill="FFFF66"/>
            <w:noWrap/>
            <w:vAlign w:val="bottom"/>
            <w:hideMark/>
          </w:tcPr>
          <w:p w14:paraId="082195A4" w14:textId="77777777" w:rsidR="000162D0" w:rsidRPr="000162D0" w:rsidRDefault="000162D0" w:rsidP="000162D0">
            <w:pPr>
              <w:spacing w:after="0" w:line="240" w:lineRule="auto"/>
              <w:jc w:val="center"/>
              <w:rPr>
                <w:rFonts w:ascii="Arial" w:eastAsia="Times New Roman" w:hAnsi="Arial" w:cs="Arial"/>
                <w:b/>
                <w:bCs/>
                <w:color w:val="806000"/>
                <w:sz w:val="20"/>
                <w:szCs w:val="20"/>
                <w:lang w:val="en-GB" w:eastAsia="en-GB"/>
              </w:rPr>
            </w:pPr>
            <w:r w:rsidRPr="000162D0">
              <w:rPr>
                <w:rFonts w:ascii="Arial" w:eastAsia="Times New Roman" w:hAnsi="Arial" w:cs="Arial"/>
                <w:b/>
                <w:bCs/>
                <w:color w:val="806000"/>
                <w:sz w:val="20"/>
                <w:szCs w:val="20"/>
                <w:lang w:val="en-GB" w:eastAsia="en-GB"/>
              </w:rPr>
              <w:t>C</w:t>
            </w:r>
          </w:p>
        </w:tc>
        <w:tc>
          <w:tcPr>
            <w:tcW w:w="1720" w:type="dxa"/>
            <w:tcBorders>
              <w:top w:val="single" w:sz="4" w:space="0" w:color="FFFFFF"/>
              <w:left w:val="single" w:sz="4" w:space="0" w:color="FFFFFF"/>
              <w:bottom w:val="single" w:sz="4" w:space="0" w:color="FFFFFF"/>
              <w:right w:val="single" w:sz="4" w:space="0" w:color="FFFFFF"/>
            </w:tcBorders>
            <w:shd w:val="clear" w:color="FFFFCC" w:fill="FFFFFF"/>
            <w:noWrap/>
            <w:vAlign w:val="bottom"/>
            <w:hideMark/>
          </w:tcPr>
          <w:p w14:paraId="0B767B17" w14:textId="347B49E2" w:rsidR="000162D0" w:rsidRPr="000162D0" w:rsidRDefault="000162D0" w:rsidP="000162D0">
            <w:pPr>
              <w:spacing w:after="0" w:line="240" w:lineRule="auto"/>
              <w:jc w:val="center"/>
              <w:rPr>
                <w:rFonts w:ascii="Arial" w:eastAsia="Times New Roman" w:hAnsi="Arial" w:cs="Arial"/>
                <w:color w:val="0070C0"/>
                <w:sz w:val="20"/>
                <w:szCs w:val="20"/>
                <w:lang w:val="en-GB" w:eastAsia="en-GB"/>
              </w:rPr>
            </w:pPr>
            <w:r w:rsidRPr="000162D0">
              <w:rPr>
                <w:rFonts w:ascii="Arial" w:eastAsia="Times New Roman" w:hAnsi="Arial" w:cs="Arial"/>
                <w:color w:val="0070C0"/>
                <w:sz w:val="20"/>
                <w:szCs w:val="20"/>
                <w:lang w:val="en-GB" w:eastAsia="en-GB"/>
              </w:rPr>
              <w:t>+</w:t>
            </w:r>
            <w:r w:rsidR="00A25B62">
              <w:rPr>
                <w:rFonts w:ascii="Arial" w:eastAsia="Times New Roman" w:hAnsi="Arial" w:cs="Arial"/>
                <w:color w:val="0070C0"/>
                <w:sz w:val="20"/>
                <w:szCs w:val="20"/>
                <w:lang w:val="en-GB" w:eastAsia="en-GB"/>
              </w:rPr>
              <w:t>21</w:t>
            </w:r>
          </w:p>
        </w:tc>
        <w:tc>
          <w:tcPr>
            <w:tcW w:w="1740" w:type="dxa"/>
            <w:tcBorders>
              <w:top w:val="single" w:sz="4" w:space="0" w:color="FFFFFF"/>
              <w:left w:val="single" w:sz="4" w:space="0" w:color="FFFFFF"/>
              <w:bottom w:val="single" w:sz="4" w:space="0" w:color="FFFFFF"/>
              <w:right w:val="single" w:sz="4" w:space="0" w:color="FFFFFF"/>
            </w:tcBorders>
            <w:shd w:val="clear" w:color="FFFFCC" w:fill="FFFFFF"/>
            <w:noWrap/>
            <w:vAlign w:val="bottom"/>
            <w:hideMark/>
          </w:tcPr>
          <w:p w14:paraId="5B5CD1E8" w14:textId="6F370103" w:rsidR="000162D0" w:rsidRPr="000162D0" w:rsidRDefault="000162D0" w:rsidP="000162D0">
            <w:pPr>
              <w:spacing w:after="0" w:line="240" w:lineRule="auto"/>
              <w:jc w:val="center"/>
              <w:rPr>
                <w:rFonts w:ascii="Arial" w:eastAsia="Times New Roman" w:hAnsi="Arial" w:cs="Arial"/>
                <w:color w:val="0070C0"/>
                <w:sz w:val="20"/>
                <w:szCs w:val="20"/>
                <w:lang w:val="en-GB" w:eastAsia="en-GB"/>
              </w:rPr>
            </w:pPr>
            <w:r w:rsidRPr="000162D0">
              <w:rPr>
                <w:rFonts w:ascii="Arial" w:eastAsia="Times New Roman" w:hAnsi="Arial" w:cs="Arial"/>
                <w:color w:val="0070C0"/>
                <w:sz w:val="20"/>
                <w:szCs w:val="20"/>
                <w:lang w:val="en-GB" w:eastAsia="en-GB"/>
              </w:rPr>
              <w:t>+</w:t>
            </w:r>
            <w:r w:rsidR="00A25B62">
              <w:rPr>
                <w:rFonts w:ascii="Arial" w:eastAsia="Times New Roman" w:hAnsi="Arial" w:cs="Arial"/>
                <w:color w:val="0070C0"/>
                <w:sz w:val="20"/>
                <w:szCs w:val="20"/>
                <w:lang w:val="en-GB" w:eastAsia="en-GB"/>
              </w:rPr>
              <w:t>6</w:t>
            </w:r>
            <w:r w:rsidRPr="000162D0">
              <w:rPr>
                <w:rFonts w:ascii="Arial" w:eastAsia="Times New Roman" w:hAnsi="Arial" w:cs="Arial"/>
                <w:color w:val="0070C0"/>
                <w:sz w:val="20"/>
                <w:szCs w:val="20"/>
                <w:lang w:val="en-GB" w:eastAsia="en-GB"/>
              </w:rPr>
              <w:t>%</w:t>
            </w:r>
          </w:p>
        </w:tc>
      </w:tr>
      <w:tr w:rsidR="000162D0" w:rsidRPr="000162D0" w14:paraId="54CB38D8" w14:textId="77777777" w:rsidTr="000162D0">
        <w:trPr>
          <w:trHeight w:val="255"/>
          <w:jc w:val="center"/>
        </w:trPr>
        <w:tc>
          <w:tcPr>
            <w:tcW w:w="1560" w:type="dxa"/>
            <w:tcBorders>
              <w:top w:val="single" w:sz="4" w:space="0" w:color="FFFFFF"/>
              <w:left w:val="single" w:sz="4" w:space="0" w:color="FFFFFF"/>
              <w:bottom w:val="single" w:sz="4" w:space="0" w:color="FFFFFF"/>
              <w:right w:val="single" w:sz="4" w:space="0" w:color="FFFFFF"/>
            </w:tcBorders>
            <w:shd w:val="clear" w:color="FFFFCC" w:fill="FFC267"/>
            <w:noWrap/>
            <w:vAlign w:val="bottom"/>
            <w:hideMark/>
          </w:tcPr>
          <w:p w14:paraId="4209C760" w14:textId="77777777" w:rsidR="000162D0" w:rsidRPr="000162D0" w:rsidRDefault="000162D0" w:rsidP="000162D0">
            <w:pPr>
              <w:spacing w:after="0" w:line="240" w:lineRule="auto"/>
              <w:jc w:val="center"/>
              <w:rPr>
                <w:rFonts w:ascii="Arial" w:eastAsia="Times New Roman" w:hAnsi="Arial" w:cs="Arial"/>
                <w:b/>
                <w:bCs/>
                <w:color w:val="833C0C"/>
                <w:sz w:val="20"/>
                <w:szCs w:val="20"/>
                <w:lang w:val="en-GB" w:eastAsia="en-GB"/>
              </w:rPr>
            </w:pPr>
            <w:r w:rsidRPr="000162D0">
              <w:rPr>
                <w:rFonts w:ascii="Arial" w:eastAsia="Times New Roman" w:hAnsi="Arial" w:cs="Arial"/>
                <w:b/>
                <w:bCs/>
                <w:color w:val="833C0C"/>
                <w:sz w:val="20"/>
                <w:szCs w:val="20"/>
                <w:lang w:val="en-GB" w:eastAsia="en-GB"/>
              </w:rPr>
              <w:t>D</w:t>
            </w:r>
          </w:p>
        </w:tc>
        <w:tc>
          <w:tcPr>
            <w:tcW w:w="1720" w:type="dxa"/>
            <w:tcBorders>
              <w:top w:val="single" w:sz="4" w:space="0" w:color="FFFFFF"/>
              <w:left w:val="single" w:sz="4" w:space="0" w:color="FFFFFF"/>
              <w:bottom w:val="single" w:sz="4" w:space="0" w:color="FFFFFF"/>
              <w:right w:val="single" w:sz="4" w:space="0" w:color="FFFFFF"/>
            </w:tcBorders>
            <w:shd w:val="clear" w:color="FFFFCC" w:fill="FFFFFF"/>
            <w:noWrap/>
            <w:vAlign w:val="bottom"/>
            <w:hideMark/>
          </w:tcPr>
          <w:p w14:paraId="0C3293DB" w14:textId="77777777" w:rsidR="000162D0" w:rsidRPr="000162D0" w:rsidRDefault="000162D0" w:rsidP="000162D0">
            <w:pPr>
              <w:spacing w:after="0" w:line="240" w:lineRule="auto"/>
              <w:jc w:val="center"/>
              <w:rPr>
                <w:rFonts w:ascii="Arial" w:eastAsia="Times New Roman" w:hAnsi="Arial" w:cs="Arial"/>
                <w:color w:val="C00000"/>
                <w:sz w:val="20"/>
                <w:szCs w:val="20"/>
                <w:lang w:val="en-GB" w:eastAsia="en-GB"/>
              </w:rPr>
            </w:pPr>
            <w:r w:rsidRPr="000162D0">
              <w:rPr>
                <w:rFonts w:ascii="Arial" w:eastAsia="Times New Roman" w:hAnsi="Arial" w:cs="Arial"/>
                <w:color w:val="C00000"/>
                <w:sz w:val="20"/>
                <w:szCs w:val="20"/>
                <w:lang w:val="en-GB" w:eastAsia="en-GB"/>
              </w:rPr>
              <w:t>-14</w:t>
            </w:r>
          </w:p>
        </w:tc>
        <w:tc>
          <w:tcPr>
            <w:tcW w:w="1740" w:type="dxa"/>
            <w:tcBorders>
              <w:top w:val="single" w:sz="4" w:space="0" w:color="FFFFFF"/>
              <w:left w:val="single" w:sz="4" w:space="0" w:color="FFFFFF"/>
              <w:bottom w:val="single" w:sz="4" w:space="0" w:color="FFFFFF"/>
              <w:right w:val="single" w:sz="4" w:space="0" w:color="FFFFFF"/>
            </w:tcBorders>
            <w:shd w:val="clear" w:color="FFFFCC" w:fill="FFFFFF"/>
            <w:noWrap/>
            <w:vAlign w:val="bottom"/>
            <w:hideMark/>
          </w:tcPr>
          <w:p w14:paraId="0B5EF434" w14:textId="77777777" w:rsidR="000162D0" w:rsidRPr="000162D0" w:rsidRDefault="000162D0" w:rsidP="000162D0">
            <w:pPr>
              <w:spacing w:after="0" w:line="240" w:lineRule="auto"/>
              <w:jc w:val="center"/>
              <w:rPr>
                <w:rFonts w:ascii="Arial" w:eastAsia="Times New Roman" w:hAnsi="Arial" w:cs="Arial"/>
                <w:color w:val="C00000"/>
                <w:sz w:val="20"/>
                <w:szCs w:val="20"/>
                <w:lang w:val="en-GB" w:eastAsia="en-GB"/>
              </w:rPr>
            </w:pPr>
            <w:r w:rsidRPr="000162D0">
              <w:rPr>
                <w:rFonts w:ascii="Arial" w:eastAsia="Times New Roman" w:hAnsi="Arial" w:cs="Arial"/>
                <w:color w:val="C00000"/>
                <w:sz w:val="20"/>
                <w:szCs w:val="20"/>
                <w:lang w:val="en-GB" w:eastAsia="en-GB"/>
              </w:rPr>
              <w:t>-4%</w:t>
            </w:r>
          </w:p>
        </w:tc>
      </w:tr>
      <w:tr w:rsidR="000162D0" w:rsidRPr="000162D0" w14:paraId="243B9224" w14:textId="77777777" w:rsidTr="000162D0">
        <w:trPr>
          <w:trHeight w:val="255"/>
          <w:jc w:val="center"/>
        </w:trPr>
        <w:tc>
          <w:tcPr>
            <w:tcW w:w="1560" w:type="dxa"/>
            <w:tcBorders>
              <w:top w:val="single" w:sz="4" w:space="0" w:color="FFFFFF"/>
              <w:left w:val="single" w:sz="4" w:space="0" w:color="FFFFFF"/>
              <w:bottom w:val="single" w:sz="4" w:space="0" w:color="auto"/>
              <w:right w:val="single" w:sz="4" w:space="0" w:color="FFFFFF"/>
            </w:tcBorders>
            <w:shd w:val="clear" w:color="FFFFCC" w:fill="FE7966"/>
            <w:noWrap/>
            <w:vAlign w:val="bottom"/>
            <w:hideMark/>
          </w:tcPr>
          <w:p w14:paraId="13509B07" w14:textId="77777777" w:rsidR="000162D0" w:rsidRPr="000162D0" w:rsidRDefault="000162D0" w:rsidP="000162D0">
            <w:pPr>
              <w:spacing w:after="0" w:line="240" w:lineRule="auto"/>
              <w:jc w:val="center"/>
              <w:rPr>
                <w:rFonts w:ascii="Arial" w:eastAsia="Times New Roman" w:hAnsi="Arial" w:cs="Arial"/>
                <w:b/>
                <w:bCs/>
                <w:color w:val="161616"/>
                <w:sz w:val="20"/>
                <w:szCs w:val="20"/>
                <w:lang w:val="en-GB" w:eastAsia="en-GB"/>
              </w:rPr>
            </w:pPr>
            <w:r w:rsidRPr="000162D0">
              <w:rPr>
                <w:rFonts w:ascii="Arial" w:eastAsia="Times New Roman" w:hAnsi="Arial" w:cs="Arial"/>
                <w:b/>
                <w:bCs/>
                <w:color w:val="161616"/>
                <w:sz w:val="20"/>
                <w:szCs w:val="20"/>
                <w:lang w:val="en-GB" w:eastAsia="en-GB"/>
              </w:rPr>
              <w:t>E</w:t>
            </w:r>
          </w:p>
        </w:tc>
        <w:tc>
          <w:tcPr>
            <w:tcW w:w="1720" w:type="dxa"/>
            <w:tcBorders>
              <w:top w:val="single" w:sz="4" w:space="0" w:color="FFFFFF"/>
              <w:left w:val="single" w:sz="4" w:space="0" w:color="FFFFFF"/>
              <w:bottom w:val="single" w:sz="4" w:space="0" w:color="auto"/>
              <w:right w:val="single" w:sz="4" w:space="0" w:color="FFFFFF"/>
            </w:tcBorders>
            <w:shd w:val="clear" w:color="FFFFCC" w:fill="FFFFFF"/>
            <w:noWrap/>
            <w:vAlign w:val="bottom"/>
            <w:hideMark/>
          </w:tcPr>
          <w:p w14:paraId="165805E1" w14:textId="3C336AD5" w:rsidR="000162D0" w:rsidRPr="000162D0" w:rsidRDefault="000162D0" w:rsidP="000162D0">
            <w:pPr>
              <w:spacing w:after="0" w:line="240" w:lineRule="auto"/>
              <w:jc w:val="center"/>
              <w:rPr>
                <w:rFonts w:ascii="Arial" w:eastAsia="Times New Roman" w:hAnsi="Arial" w:cs="Arial"/>
                <w:color w:val="C00000"/>
                <w:sz w:val="20"/>
                <w:szCs w:val="20"/>
                <w:lang w:val="en-GB" w:eastAsia="en-GB"/>
              </w:rPr>
            </w:pPr>
            <w:r w:rsidRPr="000162D0">
              <w:rPr>
                <w:rFonts w:ascii="Arial" w:eastAsia="Times New Roman" w:hAnsi="Arial" w:cs="Arial"/>
                <w:color w:val="C00000"/>
                <w:sz w:val="20"/>
                <w:szCs w:val="20"/>
                <w:lang w:val="en-GB" w:eastAsia="en-GB"/>
              </w:rPr>
              <w:t>-</w:t>
            </w:r>
            <w:r w:rsidR="00A25B62">
              <w:rPr>
                <w:rFonts w:ascii="Arial" w:eastAsia="Times New Roman" w:hAnsi="Arial" w:cs="Arial"/>
                <w:color w:val="C00000"/>
                <w:sz w:val="20"/>
                <w:szCs w:val="20"/>
                <w:lang w:val="en-GB" w:eastAsia="en-GB"/>
              </w:rPr>
              <w:t>40</w:t>
            </w:r>
          </w:p>
        </w:tc>
        <w:tc>
          <w:tcPr>
            <w:tcW w:w="1740" w:type="dxa"/>
            <w:tcBorders>
              <w:top w:val="single" w:sz="4" w:space="0" w:color="FFFFFF"/>
              <w:left w:val="single" w:sz="4" w:space="0" w:color="FFFFFF"/>
              <w:bottom w:val="single" w:sz="4" w:space="0" w:color="auto"/>
              <w:right w:val="single" w:sz="4" w:space="0" w:color="FFFFFF"/>
            </w:tcBorders>
            <w:shd w:val="clear" w:color="FFFFCC" w:fill="FFFFFF"/>
            <w:noWrap/>
            <w:vAlign w:val="bottom"/>
            <w:hideMark/>
          </w:tcPr>
          <w:p w14:paraId="49E65444" w14:textId="1AE85FC5" w:rsidR="000162D0" w:rsidRPr="000162D0" w:rsidRDefault="000162D0" w:rsidP="000162D0">
            <w:pPr>
              <w:spacing w:after="0" w:line="240" w:lineRule="auto"/>
              <w:jc w:val="center"/>
              <w:rPr>
                <w:rFonts w:ascii="Arial" w:eastAsia="Times New Roman" w:hAnsi="Arial" w:cs="Arial"/>
                <w:color w:val="C00000"/>
                <w:sz w:val="20"/>
                <w:szCs w:val="20"/>
                <w:lang w:val="en-GB" w:eastAsia="en-GB"/>
              </w:rPr>
            </w:pPr>
            <w:r w:rsidRPr="000162D0">
              <w:rPr>
                <w:rFonts w:ascii="Arial" w:eastAsia="Times New Roman" w:hAnsi="Arial" w:cs="Arial"/>
                <w:color w:val="C00000"/>
                <w:sz w:val="20"/>
                <w:szCs w:val="20"/>
                <w:lang w:val="en-GB" w:eastAsia="en-GB"/>
              </w:rPr>
              <w:t>-1</w:t>
            </w:r>
            <w:r w:rsidR="00A25B62">
              <w:rPr>
                <w:rFonts w:ascii="Arial" w:eastAsia="Times New Roman" w:hAnsi="Arial" w:cs="Arial"/>
                <w:color w:val="C00000"/>
                <w:sz w:val="20"/>
                <w:szCs w:val="20"/>
                <w:lang w:val="en-GB" w:eastAsia="en-GB"/>
              </w:rPr>
              <w:t>1</w:t>
            </w:r>
            <w:r w:rsidRPr="000162D0">
              <w:rPr>
                <w:rFonts w:ascii="Arial" w:eastAsia="Times New Roman" w:hAnsi="Arial" w:cs="Arial"/>
                <w:color w:val="C00000"/>
                <w:sz w:val="20"/>
                <w:szCs w:val="20"/>
                <w:lang w:val="en-GB" w:eastAsia="en-GB"/>
              </w:rPr>
              <w:t>%</w:t>
            </w:r>
          </w:p>
        </w:tc>
      </w:tr>
    </w:tbl>
    <w:p w14:paraId="4698FEC1" w14:textId="4CA382C1" w:rsidR="000162D0" w:rsidRDefault="000162D0" w:rsidP="000162D0">
      <w:pPr>
        <w:pStyle w:val="Caption"/>
      </w:pPr>
      <w:bookmarkStart w:id="94" w:name="_Toc512556864"/>
      <w:r>
        <w:t xml:space="preserve">Table </w:t>
      </w:r>
      <w:r w:rsidR="00005B77">
        <w:fldChar w:fldCharType="begin"/>
      </w:r>
      <w:r w:rsidR="00005B77">
        <w:instrText xml:space="preserve"> SEQ Table \* ARABIC </w:instrText>
      </w:r>
      <w:r w:rsidR="00005B77">
        <w:fldChar w:fldCharType="separate"/>
      </w:r>
      <w:r w:rsidR="0099156B">
        <w:rPr>
          <w:noProof/>
        </w:rPr>
        <w:t>7</w:t>
      </w:r>
      <w:r w:rsidR="00005B77">
        <w:fldChar w:fldCharType="end"/>
      </w:r>
      <w:r>
        <w:t xml:space="preserve"> – GB Changes in S167 Intent and Grades</w:t>
      </w:r>
      <w:bookmarkEnd w:id="94"/>
    </w:p>
    <w:p w14:paraId="0AF0EFD3" w14:textId="77777777" w:rsidR="000162D0" w:rsidRDefault="000162D0" w:rsidP="000162D0"/>
    <w:p w14:paraId="3E4ABF5C" w14:textId="0C87FF40" w:rsidR="000162D0" w:rsidRDefault="000162D0" w:rsidP="000162D0">
      <w:r>
        <w:t>There has been a broad shift towards implementation of S167, though implementation of such is still comparatively low.</w:t>
      </w:r>
    </w:p>
    <w:p w14:paraId="5857F2F8" w14:textId="77777777" w:rsidR="000162D0" w:rsidRDefault="000162D0">
      <w:pPr>
        <w:spacing w:after="0" w:line="240" w:lineRule="auto"/>
        <w:jc w:val="left"/>
      </w:pPr>
      <w:r>
        <w:br w:type="page"/>
      </w:r>
    </w:p>
    <w:p w14:paraId="144185C3" w14:textId="22F3DE7A" w:rsidR="004A7F80" w:rsidRPr="004A7F80" w:rsidRDefault="007552A5" w:rsidP="004A7F80">
      <w:r>
        <w:rPr>
          <w:noProof/>
        </w:rPr>
        <w:lastRenderedPageBreak/>
        <w:drawing>
          <wp:anchor distT="0" distB="0" distL="114300" distR="114300" simplePos="0" relativeHeight="251840000" behindDoc="0" locked="0" layoutInCell="1" allowOverlap="1" wp14:anchorId="00AAA7A5" wp14:editId="2CD23B57">
            <wp:simplePos x="0" y="0"/>
            <wp:positionH relativeFrom="margin">
              <wp:posOffset>3981450</wp:posOffset>
            </wp:positionH>
            <wp:positionV relativeFrom="paragraph">
              <wp:posOffset>38100</wp:posOffset>
            </wp:positionV>
            <wp:extent cx="1866900" cy="3771900"/>
            <wp:effectExtent l="57150" t="38100" r="190500" b="190500"/>
            <wp:wrapNone/>
            <wp:docPr id="55" name="Chart 55">
              <a:extLst xmlns:a="http://schemas.openxmlformats.org/drawingml/2006/main">
                <a:ext uri="{FF2B5EF4-FFF2-40B4-BE49-F238E27FC236}">
                  <a16:creationId xmlns:a16="http://schemas.microsoft.com/office/drawing/2014/main" id="{E001A0A9-3D31-402B-B09E-5EC177BDC22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38976" behindDoc="0" locked="0" layoutInCell="1" allowOverlap="1" wp14:anchorId="74DB0FE9" wp14:editId="7AD9567C">
            <wp:simplePos x="0" y="0"/>
            <wp:positionH relativeFrom="margin">
              <wp:posOffset>2171700</wp:posOffset>
            </wp:positionH>
            <wp:positionV relativeFrom="paragraph">
              <wp:posOffset>38100</wp:posOffset>
            </wp:positionV>
            <wp:extent cx="1928495" cy="3762375"/>
            <wp:effectExtent l="57150" t="38100" r="186055" b="180975"/>
            <wp:wrapNone/>
            <wp:docPr id="54" name="Chart 54">
              <a:extLst xmlns:a="http://schemas.openxmlformats.org/drawingml/2006/main">
                <a:ext uri="{FF2B5EF4-FFF2-40B4-BE49-F238E27FC236}">
                  <a16:creationId xmlns:a16="http://schemas.microsoft.com/office/drawing/2014/main" id="{9997CD6E-6895-4B11-A17A-B0B1C192EE2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37952" behindDoc="0" locked="0" layoutInCell="1" allowOverlap="1" wp14:anchorId="4C3E1AAE" wp14:editId="79C96800">
            <wp:simplePos x="0" y="0"/>
            <wp:positionH relativeFrom="column">
              <wp:posOffset>-114300</wp:posOffset>
            </wp:positionH>
            <wp:positionV relativeFrom="paragraph">
              <wp:posOffset>38100</wp:posOffset>
            </wp:positionV>
            <wp:extent cx="2438400" cy="3762375"/>
            <wp:effectExtent l="57150" t="38100" r="190500" b="180975"/>
            <wp:wrapNone/>
            <wp:docPr id="51" name="Chart 51">
              <a:extLst xmlns:a="http://schemas.openxmlformats.org/drawingml/2006/main">
                <a:ext uri="{FF2B5EF4-FFF2-40B4-BE49-F238E27FC236}">
                  <a16:creationId xmlns:a16="http://schemas.microsoft.com/office/drawing/2014/main" id="{ED0D3CF3-23A2-46D9-B80A-5F862A39A49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14:sizeRelH relativeFrom="margin">
              <wp14:pctWidth>0</wp14:pctWidth>
            </wp14:sizeRelH>
            <wp14:sizeRelV relativeFrom="margin">
              <wp14:pctHeight>0</wp14:pctHeight>
            </wp14:sizeRelV>
          </wp:anchor>
        </w:drawing>
      </w:r>
    </w:p>
    <w:p w14:paraId="73D30924" w14:textId="58B013F8" w:rsidR="00D50F45" w:rsidRDefault="00D50F45" w:rsidP="004A7F80"/>
    <w:p w14:paraId="604A2F4D" w14:textId="73FA6ACB" w:rsidR="00D50F45" w:rsidRDefault="00D50F45" w:rsidP="004A7F80"/>
    <w:p w14:paraId="3DC43698" w14:textId="59DD66B7" w:rsidR="00D50F45" w:rsidRDefault="00D50F45" w:rsidP="004A7F80"/>
    <w:p w14:paraId="155CC151" w14:textId="21E5810A" w:rsidR="00D50F45" w:rsidRDefault="00D50F45" w:rsidP="004A7F80"/>
    <w:p w14:paraId="0165BB2F" w14:textId="4F6EA37A" w:rsidR="00D50F45" w:rsidRDefault="00D50F45" w:rsidP="004A7F80"/>
    <w:p w14:paraId="04B79CB5" w14:textId="601495A3" w:rsidR="00D50F45" w:rsidRDefault="00D50F45" w:rsidP="004A7F80"/>
    <w:p w14:paraId="52A996AB" w14:textId="3DC7CC8F" w:rsidR="00D50F45" w:rsidRDefault="00D50F45" w:rsidP="004A7F80"/>
    <w:p w14:paraId="4F2B5002" w14:textId="4D076012" w:rsidR="00D50F45" w:rsidRDefault="00D50F45" w:rsidP="004A7F80"/>
    <w:p w14:paraId="0EAAE4DB" w14:textId="61B13F85" w:rsidR="00D50F45" w:rsidRDefault="00D50F45" w:rsidP="004A7F80"/>
    <w:p w14:paraId="74FDC798" w14:textId="2EF9F156" w:rsidR="00D50F45" w:rsidRDefault="00D50F45" w:rsidP="004A7F80"/>
    <w:p w14:paraId="26C348FA" w14:textId="1E0F6764" w:rsidR="00D50F45" w:rsidRDefault="00D50F45" w:rsidP="004A7F80"/>
    <w:p w14:paraId="643A1E08" w14:textId="3D1C4876" w:rsidR="00D50F45" w:rsidRDefault="00D50F45" w:rsidP="004A7F80"/>
    <w:p w14:paraId="0F87F40F" w14:textId="014B3998" w:rsidR="00D50F45" w:rsidRDefault="00D50F45" w:rsidP="004A7F80">
      <w:r>
        <w:rPr>
          <w:noProof/>
        </w:rPr>
        <w:drawing>
          <wp:anchor distT="0" distB="0" distL="114300" distR="114300" simplePos="0" relativeHeight="251833856" behindDoc="0" locked="0" layoutInCell="1" allowOverlap="1" wp14:anchorId="41DE156C" wp14:editId="082A686A">
            <wp:simplePos x="0" y="0"/>
            <wp:positionH relativeFrom="margin">
              <wp:posOffset>-95250</wp:posOffset>
            </wp:positionH>
            <wp:positionV relativeFrom="paragraph">
              <wp:posOffset>302260</wp:posOffset>
            </wp:positionV>
            <wp:extent cx="2486025" cy="3752850"/>
            <wp:effectExtent l="57150" t="57150" r="180975" b="190500"/>
            <wp:wrapSquare wrapText="bothSides"/>
            <wp:docPr id="36" name="Chart 36">
              <a:extLst xmlns:a="http://schemas.openxmlformats.org/drawingml/2006/main">
                <a:ext uri="{FF2B5EF4-FFF2-40B4-BE49-F238E27FC236}">
                  <a16:creationId xmlns:a16="http://schemas.microsoft.com/office/drawing/2014/main" id="{5BFFBF34-D85D-450C-BFD0-8097A35B9E2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14:sizeRelH relativeFrom="page">
              <wp14:pctWidth>0</wp14:pctWidth>
            </wp14:sizeRelH>
            <wp14:sizeRelV relativeFrom="page">
              <wp14:pctHeight>0</wp14:pctHeight>
            </wp14:sizeRelV>
          </wp:anchor>
        </w:drawing>
      </w:r>
    </w:p>
    <w:p w14:paraId="5A64C25B" w14:textId="2406C23C" w:rsidR="00D50F45" w:rsidRDefault="009966EF" w:rsidP="004A7F80">
      <w:r>
        <w:rPr>
          <w:noProof/>
        </w:rPr>
        <w:drawing>
          <wp:anchor distT="0" distB="0" distL="114300" distR="114300" simplePos="0" relativeHeight="251836928" behindDoc="0" locked="0" layoutInCell="1" allowOverlap="1" wp14:anchorId="15736559" wp14:editId="77FB7C2C">
            <wp:simplePos x="0" y="0"/>
            <wp:positionH relativeFrom="column">
              <wp:posOffset>4010025</wp:posOffset>
            </wp:positionH>
            <wp:positionV relativeFrom="paragraph">
              <wp:posOffset>5080</wp:posOffset>
            </wp:positionV>
            <wp:extent cx="1918970" cy="3752850"/>
            <wp:effectExtent l="57150" t="57150" r="195580" b="190500"/>
            <wp:wrapNone/>
            <wp:docPr id="50" name="Chart 50">
              <a:extLst xmlns:a="http://schemas.openxmlformats.org/drawingml/2006/main">
                <a:ext uri="{FF2B5EF4-FFF2-40B4-BE49-F238E27FC236}">
                  <a16:creationId xmlns:a16="http://schemas.microsoft.com/office/drawing/2014/main" id="{808E159C-A5BF-4ABA-8C34-CAF08A61B29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14:sizeRelH relativeFrom="page">
              <wp14:pctWidth>0</wp14:pctWidth>
            </wp14:sizeRelH>
            <wp14:sizeRelV relativeFrom="page">
              <wp14:pctHeight>0</wp14:pctHeight>
            </wp14:sizeRelV>
          </wp:anchor>
        </w:drawing>
      </w:r>
      <w:r w:rsidR="007552A5">
        <w:rPr>
          <w:noProof/>
        </w:rPr>
        <w:drawing>
          <wp:anchor distT="0" distB="0" distL="114300" distR="114300" simplePos="0" relativeHeight="251835904" behindDoc="0" locked="0" layoutInCell="1" allowOverlap="1" wp14:anchorId="5D822EEC" wp14:editId="7FCC78F0">
            <wp:simplePos x="0" y="0"/>
            <wp:positionH relativeFrom="column">
              <wp:posOffset>2190750</wp:posOffset>
            </wp:positionH>
            <wp:positionV relativeFrom="paragraph">
              <wp:posOffset>5080</wp:posOffset>
            </wp:positionV>
            <wp:extent cx="1971675" cy="3752850"/>
            <wp:effectExtent l="57150" t="38100" r="161925" b="190500"/>
            <wp:wrapNone/>
            <wp:docPr id="40" name="Chart 40">
              <a:extLst xmlns:a="http://schemas.openxmlformats.org/drawingml/2006/main">
                <a:ext uri="{FF2B5EF4-FFF2-40B4-BE49-F238E27FC236}">
                  <a16:creationId xmlns:a16="http://schemas.microsoft.com/office/drawing/2014/main" id="{9E217960-FAD8-449A-877E-B8B35B3A99A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14:sizeRelH relativeFrom="page">
              <wp14:pctWidth>0</wp14:pctWidth>
            </wp14:sizeRelH>
            <wp14:sizeRelV relativeFrom="page">
              <wp14:pctHeight>0</wp14:pctHeight>
            </wp14:sizeRelV>
          </wp:anchor>
        </w:drawing>
      </w:r>
    </w:p>
    <w:p w14:paraId="65363257" w14:textId="74B00EAE" w:rsidR="00D50F45" w:rsidRDefault="00D50F45">
      <w:pPr>
        <w:spacing w:after="0" w:line="240" w:lineRule="auto"/>
        <w:jc w:val="left"/>
      </w:pPr>
    </w:p>
    <w:p w14:paraId="365B6550" w14:textId="4AB6EB1A" w:rsidR="0085247B" w:rsidRPr="00D50F45" w:rsidRDefault="0085247B">
      <w:pPr>
        <w:spacing w:after="0" w:line="240" w:lineRule="auto"/>
        <w:jc w:val="left"/>
      </w:pPr>
      <w:r>
        <w:rPr>
          <w:noProof/>
        </w:rPr>
        <mc:AlternateContent>
          <mc:Choice Requires="wps">
            <w:drawing>
              <wp:anchor distT="0" distB="0" distL="114300" distR="114300" simplePos="0" relativeHeight="251842048" behindDoc="0" locked="0" layoutInCell="1" allowOverlap="1" wp14:anchorId="6F4DE860" wp14:editId="6C5ADF1C">
                <wp:simplePos x="0" y="0"/>
                <wp:positionH relativeFrom="column">
                  <wp:posOffset>2743200</wp:posOffset>
                </wp:positionH>
                <wp:positionV relativeFrom="paragraph">
                  <wp:posOffset>3370580</wp:posOffset>
                </wp:positionV>
                <wp:extent cx="3185795" cy="63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3185795" cy="635"/>
                        </a:xfrm>
                        <a:prstGeom prst="rect">
                          <a:avLst/>
                        </a:prstGeom>
                        <a:solidFill>
                          <a:prstClr val="white"/>
                        </a:solidFill>
                        <a:ln>
                          <a:noFill/>
                        </a:ln>
                      </wps:spPr>
                      <wps:txbx>
                        <w:txbxContent>
                          <w:p w14:paraId="08986FF5" w14:textId="4F0A208E" w:rsidR="00D660E4" w:rsidRPr="007A2F92" w:rsidRDefault="00D660E4" w:rsidP="0085247B">
                            <w:pPr>
                              <w:pStyle w:val="Caption"/>
                              <w:rPr>
                                <w:noProof/>
                                <w:sz w:val="24"/>
                              </w:rPr>
                            </w:pPr>
                            <w:bookmarkStart w:id="95" w:name="_Toc512556855"/>
                            <w:r>
                              <w:t xml:space="preserve">Figure </w:t>
                            </w:r>
                            <w:r>
                              <w:fldChar w:fldCharType="begin"/>
                            </w:r>
                            <w:r>
                              <w:instrText xml:space="preserve"> SEQ Figure \* ARABIC </w:instrText>
                            </w:r>
                            <w:r>
                              <w:fldChar w:fldCharType="separate"/>
                            </w:r>
                            <w:r w:rsidR="0099156B">
                              <w:rPr>
                                <w:noProof/>
                              </w:rPr>
                              <w:t>6</w:t>
                            </w:r>
                            <w:r>
                              <w:fldChar w:fldCharType="end"/>
                            </w:r>
                            <w:r>
                              <w:t xml:space="preserve"> – Constituent countries’ change in S167 intent and grade</w:t>
                            </w:r>
                            <w:bookmarkEnd w:id="9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6F4DE860" id="_x0000_t202" coordsize="21600,21600" o:spt="202" path="m,l,21600r21600,l21600,xe">
                <v:stroke joinstyle="miter"/>
                <v:path gradientshapeok="t" o:connecttype="rect"/>
              </v:shapetype>
              <v:shape id="Text Box 56" o:spid="_x0000_s1026" type="#_x0000_t202" style="position:absolute;margin-left:3in;margin-top:265.4pt;width:250.85pt;height:.05pt;z-index:251842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" stroked="f">
                <v:textbox style="mso-fit-shape-to-text:t" inset="0,0,0,0">
                  <w:txbxContent>
                    <w:p w14:paraId="08986FF5" w14:textId="4F0A208E" w:rsidR="00D660E4" w:rsidRPr="007A2F92" w:rsidRDefault="00D660E4" w:rsidP="0085247B">
                      <w:pPr>
                        <w:pStyle w:val="Caption"/>
                        <w:rPr>
                          <w:noProof/>
                          <w:sz w:val="24"/>
                        </w:rPr>
                      </w:pPr>
                      <w:bookmarkStart w:id="96" w:name="_Toc512556855"/>
                      <w:r>
                        <w:t xml:space="preserve">Figure </w:t>
                      </w:r>
                      <w:r>
                        <w:fldChar w:fldCharType="begin"/>
                      </w:r>
                      <w:r>
                        <w:instrText xml:space="preserve"> SEQ Figure \* ARABIC </w:instrText>
                      </w:r>
                      <w:r>
                        <w:fldChar w:fldCharType="separate"/>
                      </w:r>
                      <w:r w:rsidR="0099156B">
                        <w:rPr>
                          <w:noProof/>
                        </w:rPr>
                        <w:t>6</w:t>
                      </w:r>
                      <w:r>
                        <w:fldChar w:fldCharType="end"/>
                      </w:r>
                      <w:r>
                        <w:t xml:space="preserve"> – Constituent countries’ change in S167 intent and grade</w:t>
                      </w:r>
                      <w:bookmarkEnd w:id="96"/>
                    </w:p>
                  </w:txbxContent>
                </v:textbox>
              </v:shape>
            </w:pict>
          </mc:Fallback>
        </mc:AlternateContent>
      </w:r>
      <w:r w:rsidR="004A7F80">
        <w:br w:type="page"/>
      </w:r>
    </w:p>
    <w:tbl>
      <w:tblPr>
        <w:tblW w:w="9340" w:type="dxa"/>
        <w:tblLook w:val="04A0" w:firstRow="1" w:lastRow="0" w:firstColumn="1" w:lastColumn="0" w:noHBand="0" w:noVBand="1"/>
      </w:tblPr>
      <w:tblGrid>
        <w:gridCol w:w="940"/>
        <w:gridCol w:w="1212"/>
        <w:gridCol w:w="1428"/>
        <w:gridCol w:w="1073"/>
        <w:gridCol w:w="1807"/>
        <w:gridCol w:w="924"/>
        <w:gridCol w:w="1956"/>
      </w:tblGrid>
      <w:tr w:rsidR="000D6E73" w:rsidRPr="000D6E73" w14:paraId="29F98598" w14:textId="77777777" w:rsidTr="000D6E73">
        <w:trPr>
          <w:trHeight w:val="255"/>
        </w:trPr>
        <w:tc>
          <w:tcPr>
            <w:tcW w:w="940" w:type="dxa"/>
            <w:vMerge w:val="restart"/>
            <w:tcBorders>
              <w:top w:val="single" w:sz="4" w:space="0" w:color="auto"/>
              <w:left w:val="single" w:sz="4" w:space="0" w:color="auto"/>
              <w:bottom w:val="single" w:sz="4" w:space="0" w:color="000000"/>
              <w:right w:val="nil"/>
            </w:tcBorders>
            <w:shd w:val="clear" w:color="FFFFCC" w:fill="FFFFFF"/>
            <w:vAlign w:val="bottom"/>
            <w:hideMark/>
          </w:tcPr>
          <w:p w14:paraId="1C3F9095" w14:textId="77777777" w:rsidR="000D6E73" w:rsidRPr="000D6E73" w:rsidRDefault="000D6E73" w:rsidP="000D6E73">
            <w:pPr>
              <w:spacing w:after="0" w:line="240" w:lineRule="auto"/>
              <w:jc w:val="center"/>
              <w:rPr>
                <w:rFonts w:ascii="Arial" w:eastAsia="Times New Roman" w:hAnsi="Arial" w:cs="Arial"/>
                <w:b/>
                <w:bCs/>
                <w:color w:val="000000"/>
                <w:sz w:val="20"/>
                <w:szCs w:val="20"/>
                <w:lang w:val="en-GB" w:eastAsia="en-GB"/>
              </w:rPr>
            </w:pPr>
            <w:r w:rsidRPr="000D6E73">
              <w:rPr>
                <w:rFonts w:ascii="Arial" w:eastAsia="Times New Roman" w:hAnsi="Arial" w:cs="Arial"/>
                <w:b/>
                <w:bCs/>
                <w:color w:val="000000"/>
                <w:sz w:val="20"/>
                <w:szCs w:val="20"/>
                <w:lang w:val="en-GB" w:eastAsia="en-GB"/>
              </w:rPr>
              <w:lastRenderedPageBreak/>
              <w:t>∆ S167 intent</w:t>
            </w:r>
          </w:p>
        </w:tc>
        <w:tc>
          <w:tcPr>
            <w:tcW w:w="2640" w:type="dxa"/>
            <w:gridSpan w:val="2"/>
            <w:tcBorders>
              <w:top w:val="single" w:sz="4" w:space="0" w:color="auto"/>
              <w:left w:val="single" w:sz="4" w:space="0" w:color="auto"/>
              <w:bottom w:val="nil"/>
              <w:right w:val="single" w:sz="4" w:space="0" w:color="000000"/>
            </w:tcBorders>
            <w:shd w:val="clear" w:color="FFFFCC" w:fill="FFFFFF"/>
            <w:noWrap/>
            <w:vAlign w:val="bottom"/>
            <w:hideMark/>
          </w:tcPr>
          <w:p w14:paraId="4D9A5C06" w14:textId="77777777" w:rsidR="000D6E73" w:rsidRPr="000D6E73" w:rsidRDefault="000D6E73" w:rsidP="000D6E73">
            <w:pPr>
              <w:spacing w:after="0" w:line="240" w:lineRule="auto"/>
              <w:jc w:val="center"/>
              <w:rPr>
                <w:rFonts w:ascii="Arial" w:eastAsia="Times New Roman" w:hAnsi="Arial" w:cs="Arial"/>
                <w:b/>
                <w:bCs/>
                <w:color w:val="000000"/>
                <w:sz w:val="20"/>
                <w:szCs w:val="20"/>
                <w:lang w:val="en-GB" w:eastAsia="en-GB"/>
              </w:rPr>
            </w:pPr>
            <w:r w:rsidRPr="000D6E73">
              <w:rPr>
                <w:rFonts w:ascii="Arial" w:eastAsia="Times New Roman" w:hAnsi="Arial" w:cs="Arial"/>
                <w:b/>
                <w:bCs/>
                <w:color w:val="000000"/>
                <w:sz w:val="20"/>
                <w:szCs w:val="20"/>
                <w:lang w:val="en-GB" w:eastAsia="en-GB"/>
              </w:rPr>
              <w:t>England</w:t>
            </w:r>
          </w:p>
        </w:tc>
        <w:tc>
          <w:tcPr>
            <w:tcW w:w="2880" w:type="dxa"/>
            <w:gridSpan w:val="2"/>
            <w:tcBorders>
              <w:top w:val="single" w:sz="4" w:space="0" w:color="auto"/>
              <w:left w:val="nil"/>
              <w:bottom w:val="nil"/>
              <w:right w:val="nil"/>
            </w:tcBorders>
            <w:shd w:val="clear" w:color="FFFFCC" w:fill="FFFFFF"/>
            <w:noWrap/>
            <w:vAlign w:val="bottom"/>
            <w:hideMark/>
          </w:tcPr>
          <w:p w14:paraId="35C93F5A" w14:textId="77777777" w:rsidR="000D6E73" w:rsidRPr="000D6E73" w:rsidRDefault="000D6E73" w:rsidP="000D6E73">
            <w:pPr>
              <w:spacing w:after="0" w:line="240" w:lineRule="auto"/>
              <w:jc w:val="center"/>
              <w:rPr>
                <w:rFonts w:ascii="Arial" w:eastAsia="Times New Roman" w:hAnsi="Arial" w:cs="Arial"/>
                <w:b/>
                <w:bCs/>
                <w:color w:val="000000"/>
                <w:sz w:val="20"/>
                <w:szCs w:val="20"/>
                <w:lang w:val="en-GB" w:eastAsia="en-GB"/>
              </w:rPr>
            </w:pPr>
            <w:r w:rsidRPr="000D6E73">
              <w:rPr>
                <w:rFonts w:ascii="Arial" w:eastAsia="Times New Roman" w:hAnsi="Arial" w:cs="Arial"/>
                <w:b/>
                <w:bCs/>
                <w:color w:val="000000"/>
                <w:sz w:val="20"/>
                <w:szCs w:val="20"/>
                <w:lang w:val="en-GB" w:eastAsia="en-GB"/>
              </w:rPr>
              <w:t>Scotland</w:t>
            </w:r>
          </w:p>
        </w:tc>
        <w:tc>
          <w:tcPr>
            <w:tcW w:w="2880" w:type="dxa"/>
            <w:gridSpan w:val="2"/>
            <w:tcBorders>
              <w:top w:val="single" w:sz="4" w:space="0" w:color="auto"/>
              <w:left w:val="single" w:sz="4" w:space="0" w:color="auto"/>
              <w:bottom w:val="nil"/>
              <w:right w:val="single" w:sz="4" w:space="0" w:color="000000"/>
            </w:tcBorders>
            <w:shd w:val="clear" w:color="FFFFCC" w:fill="FFFFFF"/>
            <w:noWrap/>
            <w:vAlign w:val="bottom"/>
            <w:hideMark/>
          </w:tcPr>
          <w:p w14:paraId="04902C20" w14:textId="77777777" w:rsidR="000D6E73" w:rsidRPr="000D6E73" w:rsidRDefault="000D6E73" w:rsidP="000D6E73">
            <w:pPr>
              <w:spacing w:after="0" w:line="240" w:lineRule="auto"/>
              <w:jc w:val="center"/>
              <w:rPr>
                <w:rFonts w:ascii="Arial" w:eastAsia="Times New Roman" w:hAnsi="Arial" w:cs="Arial"/>
                <w:b/>
                <w:bCs/>
                <w:color w:val="000000"/>
                <w:sz w:val="20"/>
                <w:szCs w:val="20"/>
                <w:lang w:val="en-GB" w:eastAsia="en-GB"/>
              </w:rPr>
            </w:pPr>
            <w:r w:rsidRPr="000D6E73">
              <w:rPr>
                <w:rFonts w:ascii="Arial" w:eastAsia="Times New Roman" w:hAnsi="Arial" w:cs="Arial"/>
                <w:b/>
                <w:bCs/>
                <w:color w:val="000000"/>
                <w:sz w:val="20"/>
                <w:szCs w:val="20"/>
                <w:lang w:val="en-GB" w:eastAsia="en-GB"/>
              </w:rPr>
              <w:t>Wales</w:t>
            </w:r>
          </w:p>
        </w:tc>
      </w:tr>
      <w:tr w:rsidR="000D6E73" w:rsidRPr="000D6E73" w14:paraId="18A6CB79" w14:textId="77777777" w:rsidTr="000D6E73">
        <w:trPr>
          <w:trHeight w:val="255"/>
        </w:trPr>
        <w:tc>
          <w:tcPr>
            <w:tcW w:w="940" w:type="dxa"/>
            <w:vMerge/>
            <w:tcBorders>
              <w:top w:val="single" w:sz="4" w:space="0" w:color="auto"/>
              <w:left w:val="single" w:sz="4" w:space="0" w:color="auto"/>
              <w:bottom w:val="single" w:sz="4" w:space="0" w:color="000000"/>
              <w:right w:val="nil"/>
            </w:tcBorders>
            <w:vAlign w:val="center"/>
            <w:hideMark/>
          </w:tcPr>
          <w:p w14:paraId="6486D402" w14:textId="77777777" w:rsidR="000D6E73" w:rsidRPr="000D6E73" w:rsidRDefault="000D6E73" w:rsidP="000D6E73">
            <w:pPr>
              <w:spacing w:after="0" w:line="240" w:lineRule="auto"/>
              <w:jc w:val="left"/>
              <w:rPr>
                <w:rFonts w:ascii="Arial" w:eastAsia="Times New Roman" w:hAnsi="Arial" w:cs="Arial"/>
                <w:b/>
                <w:bCs/>
                <w:color w:val="000000"/>
                <w:sz w:val="20"/>
                <w:szCs w:val="20"/>
                <w:lang w:val="en-GB" w:eastAsia="en-GB"/>
              </w:rPr>
            </w:pPr>
          </w:p>
        </w:tc>
        <w:tc>
          <w:tcPr>
            <w:tcW w:w="1212" w:type="dxa"/>
            <w:tcBorders>
              <w:top w:val="nil"/>
              <w:left w:val="single" w:sz="4" w:space="0" w:color="auto"/>
              <w:bottom w:val="single" w:sz="4" w:space="0" w:color="auto"/>
              <w:right w:val="nil"/>
            </w:tcBorders>
            <w:shd w:val="clear" w:color="FFFFCC" w:fill="FFFFFF"/>
            <w:noWrap/>
            <w:vAlign w:val="bottom"/>
            <w:hideMark/>
          </w:tcPr>
          <w:p w14:paraId="23804EFC" w14:textId="77777777" w:rsidR="000D6E73" w:rsidRPr="000D6E73" w:rsidRDefault="000D6E73" w:rsidP="000D6E73">
            <w:pPr>
              <w:spacing w:after="0" w:line="240" w:lineRule="auto"/>
              <w:jc w:val="center"/>
              <w:rPr>
                <w:rFonts w:ascii="Arial" w:eastAsia="Times New Roman" w:hAnsi="Arial" w:cs="Arial"/>
                <w:b/>
                <w:bCs/>
                <w:color w:val="000000"/>
                <w:sz w:val="20"/>
                <w:szCs w:val="20"/>
                <w:lang w:val="en-GB" w:eastAsia="en-GB"/>
              </w:rPr>
            </w:pPr>
            <w:r w:rsidRPr="000D6E73">
              <w:rPr>
                <w:rFonts w:ascii="Arial" w:eastAsia="Times New Roman" w:hAnsi="Arial" w:cs="Arial"/>
                <w:b/>
                <w:bCs/>
                <w:color w:val="000000"/>
                <w:sz w:val="20"/>
                <w:szCs w:val="20"/>
                <w:lang w:val="en-GB" w:eastAsia="en-GB"/>
              </w:rPr>
              <w:t>#</w:t>
            </w:r>
          </w:p>
        </w:tc>
        <w:tc>
          <w:tcPr>
            <w:tcW w:w="1428" w:type="dxa"/>
            <w:tcBorders>
              <w:top w:val="nil"/>
              <w:left w:val="nil"/>
              <w:bottom w:val="single" w:sz="4" w:space="0" w:color="auto"/>
              <w:right w:val="single" w:sz="4" w:space="0" w:color="auto"/>
            </w:tcBorders>
            <w:shd w:val="clear" w:color="FFFFCC" w:fill="FFFFFF"/>
            <w:noWrap/>
            <w:vAlign w:val="bottom"/>
            <w:hideMark/>
          </w:tcPr>
          <w:p w14:paraId="0C62CF80" w14:textId="77777777" w:rsidR="000D6E73" w:rsidRPr="000D6E73" w:rsidRDefault="000D6E73" w:rsidP="000D6E73">
            <w:pPr>
              <w:spacing w:after="0" w:line="240" w:lineRule="auto"/>
              <w:jc w:val="center"/>
              <w:rPr>
                <w:rFonts w:ascii="Arial" w:eastAsia="Times New Roman" w:hAnsi="Arial" w:cs="Arial"/>
                <w:b/>
                <w:bCs/>
                <w:color w:val="000000"/>
                <w:sz w:val="20"/>
                <w:szCs w:val="20"/>
                <w:lang w:val="en-GB" w:eastAsia="en-GB"/>
              </w:rPr>
            </w:pPr>
            <w:r w:rsidRPr="000D6E73">
              <w:rPr>
                <w:rFonts w:ascii="Arial" w:eastAsia="Times New Roman" w:hAnsi="Arial" w:cs="Arial"/>
                <w:b/>
                <w:bCs/>
                <w:color w:val="000000"/>
                <w:sz w:val="20"/>
                <w:szCs w:val="20"/>
                <w:lang w:val="en-GB" w:eastAsia="en-GB"/>
              </w:rPr>
              <w:t>%</w:t>
            </w:r>
          </w:p>
        </w:tc>
        <w:tc>
          <w:tcPr>
            <w:tcW w:w="1073" w:type="dxa"/>
            <w:tcBorders>
              <w:top w:val="nil"/>
              <w:left w:val="nil"/>
              <w:bottom w:val="single" w:sz="4" w:space="0" w:color="auto"/>
              <w:right w:val="nil"/>
            </w:tcBorders>
            <w:shd w:val="clear" w:color="FFFFCC" w:fill="FFFFFF"/>
            <w:noWrap/>
            <w:vAlign w:val="bottom"/>
            <w:hideMark/>
          </w:tcPr>
          <w:p w14:paraId="45BF0C95" w14:textId="77777777" w:rsidR="000D6E73" w:rsidRPr="000D6E73" w:rsidRDefault="000D6E73" w:rsidP="000D6E73">
            <w:pPr>
              <w:spacing w:after="0" w:line="240" w:lineRule="auto"/>
              <w:jc w:val="center"/>
              <w:rPr>
                <w:rFonts w:ascii="Arial" w:eastAsia="Times New Roman" w:hAnsi="Arial" w:cs="Arial"/>
                <w:b/>
                <w:bCs/>
                <w:color w:val="000000"/>
                <w:sz w:val="20"/>
                <w:szCs w:val="20"/>
                <w:lang w:val="en-GB" w:eastAsia="en-GB"/>
              </w:rPr>
            </w:pPr>
            <w:r w:rsidRPr="000D6E73">
              <w:rPr>
                <w:rFonts w:ascii="Arial" w:eastAsia="Times New Roman" w:hAnsi="Arial" w:cs="Arial"/>
                <w:b/>
                <w:bCs/>
                <w:color w:val="000000"/>
                <w:sz w:val="20"/>
                <w:szCs w:val="20"/>
                <w:lang w:val="en-GB" w:eastAsia="en-GB"/>
              </w:rPr>
              <w:t>#</w:t>
            </w:r>
          </w:p>
        </w:tc>
        <w:tc>
          <w:tcPr>
            <w:tcW w:w="1807" w:type="dxa"/>
            <w:tcBorders>
              <w:top w:val="nil"/>
              <w:left w:val="nil"/>
              <w:bottom w:val="single" w:sz="4" w:space="0" w:color="auto"/>
              <w:right w:val="nil"/>
            </w:tcBorders>
            <w:shd w:val="clear" w:color="FFFFCC" w:fill="FFFFFF"/>
            <w:noWrap/>
            <w:vAlign w:val="bottom"/>
            <w:hideMark/>
          </w:tcPr>
          <w:p w14:paraId="4D529AFA" w14:textId="77777777" w:rsidR="000D6E73" w:rsidRPr="000D6E73" w:rsidRDefault="000D6E73" w:rsidP="000D6E73">
            <w:pPr>
              <w:spacing w:after="0" w:line="240" w:lineRule="auto"/>
              <w:jc w:val="center"/>
              <w:rPr>
                <w:rFonts w:ascii="Arial" w:eastAsia="Times New Roman" w:hAnsi="Arial" w:cs="Arial"/>
                <w:b/>
                <w:bCs/>
                <w:color w:val="000000"/>
                <w:sz w:val="20"/>
                <w:szCs w:val="20"/>
                <w:lang w:val="en-GB" w:eastAsia="en-GB"/>
              </w:rPr>
            </w:pPr>
            <w:r w:rsidRPr="000D6E73">
              <w:rPr>
                <w:rFonts w:ascii="Arial" w:eastAsia="Times New Roman" w:hAnsi="Arial" w:cs="Arial"/>
                <w:b/>
                <w:bCs/>
                <w:color w:val="000000"/>
                <w:sz w:val="20"/>
                <w:szCs w:val="20"/>
                <w:lang w:val="en-GB" w:eastAsia="en-GB"/>
              </w:rPr>
              <w:t>%</w:t>
            </w:r>
          </w:p>
        </w:tc>
        <w:tc>
          <w:tcPr>
            <w:tcW w:w="924" w:type="dxa"/>
            <w:tcBorders>
              <w:top w:val="nil"/>
              <w:left w:val="single" w:sz="4" w:space="0" w:color="auto"/>
              <w:bottom w:val="single" w:sz="4" w:space="0" w:color="auto"/>
              <w:right w:val="nil"/>
            </w:tcBorders>
            <w:shd w:val="clear" w:color="FFFFCC" w:fill="FFFFFF"/>
            <w:noWrap/>
            <w:vAlign w:val="bottom"/>
            <w:hideMark/>
          </w:tcPr>
          <w:p w14:paraId="75104368" w14:textId="77777777" w:rsidR="000D6E73" w:rsidRPr="000D6E73" w:rsidRDefault="000D6E73" w:rsidP="000D6E73">
            <w:pPr>
              <w:spacing w:after="0" w:line="240" w:lineRule="auto"/>
              <w:jc w:val="center"/>
              <w:rPr>
                <w:rFonts w:ascii="Arial" w:eastAsia="Times New Roman" w:hAnsi="Arial" w:cs="Arial"/>
                <w:b/>
                <w:bCs/>
                <w:color w:val="000000"/>
                <w:sz w:val="20"/>
                <w:szCs w:val="20"/>
                <w:lang w:val="en-GB" w:eastAsia="en-GB"/>
              </w:rPr>
            </w:pPr>
            <w:r w:rsidRPr="000D6E73">
              <w:rPr>
                <w:rFonts w:ascii="Arial" w:eastAsia="Times New Roman" w:hAnsi="Arial" w:cs="Arial"/>
                <w:b/>
                <w:bCs/>
                <w:color w:val="000000"/>
                <w:sz w:val="20"/>
                <w:szCs w:val="20"/>
                <w:lang w:val="en-GB" w:eastAsia="en-GB"/>
              </w:rPr>
              <w:t>#</w:t>
            </w:r>
          </w:p>
        </w:tc>
        <w:tc>
          <w:tcPr>
            <w:tcW w:w="1956" w:type="dxa"/>
            <w:tcBorders>
              <w:top w:val="nil"/>
              <w:left w:val="nil"/>
              <w:bottom w:val="single" w:sz="4" w:space="0" w:color="auto"/>
              <w:right w:val="single" w:sz="4" w:space="0" w:color="auto"/>
            </w:tcBorders>
            <w:shd w:val="clear" w:color="FFFFCC" w:fill="FFFFFF"/>
            <w:noWrap/>
            <w:vAlign w:val="bottom"/>
            <w:hideMark/>
          </w:tcPr>
          <w:p w14:paraId="0BF6DDC7" w14:textId="77777777" w:rsidR="000D6E73" w:rsidRPr="000D6E73" w:rsidRDefault="000D6E73" w:rsidP="000D6E73">
            <w:pPr>
              <w:spacing w:after="0" w:line="240" w:lineRule="auto"/>
              <w:jc w:val="center"/>
              <w:rPr>
                <w:rFonts w:ascii="Arial" w:eastAsia="Times New Roman" w:hAnsi="Arial" w:cs="Arial"/>
                <w:b/>
                <w:bCs/>
                <w:color w:val="000000"/>
                <w:sz w:val="20"/>
                <w:szCs w:val="20"/>
                <w:lang w:val="en-GB" w:eastAsia="en-GB"/>
              </w:rPr>
            </w:pPr>
            <w:r w:rsidRPr="000D6E73">
              <w:rPr>
                <w:rFonts w:ascii="Arial" w:eastAsia="Times New Roman" w:hAnsi="Arial" w:cs="Arial"/>
                <w:b/>
                <w:bCs/>
                <w:color w:val="000000"/>
                <w:sz w:val="20"/>
                <w:szCs w:val="20"/>
                <w:lang w:val="en-GB" w:eastAsia="en-GB"/>
              </w:rPr>
              <w:t>%</w:t>
            </w:r>
          </w:p>
        </w:tc>
      </w:tr>
      <w:tr w:rsidR="000D6E73" w:rsidRPr="000D6E73" w14:paraId="21D0E021" w14:textId="77777777" w:rsidTr="000D6E73">
        <w:trPr>
          <w:trHeight w:val="255"/>
        </w:trPr>
        <w:tc>
          <w:tcPr>
            <w:tcW w:w="940" w:type="dxa"/>
            <w:tcBorders>
              <w:top w:val="nil"/>
              <w:left w:val="single" w:sz="4" w:space="0" w:color="DBDBDB"/>
              <w:bottom w:val="nil"/>
              <w:right w:val="nil"/>
            </w:tcBorders>
            <w:shd w:val="clear" w:color="FFFFCC" w:fill="99BD66"/>
            <w:noWrap/>
            <w:vAlign w:val="bottom"/>
            <w:hideMark/>
          </w:tcPr>
          <w:p w14:paraId="51D8B2EE" w14:textId="77777777" w:rsidR="000D6E73" w:rsidRPr="000D6E73" w:rsidRDefault="000D6E73" w:rsidP="000D6E73">
            <w:pPr>
              <w:spacing w:after="0" w:line="240" w:lineRule="auto"/>
              <w:jc w:val="center"/>
              <w:rPr>
                <w:rFonts w:ascii="Arial" w:eastAsia="Times New Roman" w:hAnsi="Arial" w:cs="Arial"/>
                <w:b/>
                <w:bCs/>
                <w:color w:val="000000"/>
                <w:sz w:val="20"/>
                <w:szCs w:val="20"/>
                <w:lang w:val="en-GB" w:eastAsia="en-GB"/>
              </w:rPr>
            </w:pPr>
            <w:r w:rsidRPr="000D6E73">
              <w:rPr>
                <w:rFonts w:ascii="Arial" w:eastAsia="Times New Roman" w:hAnsi="Arial" w:cs="Arial"/>
                <w:b/>
                <w:bCs/>
                <w:color w:val="000000"/>
                <w:sz w:val="20"/>
                <w:szCs w:val="20"/>
                <w:lang w:val="en-GB" w:eastAsia="en-GB"/>
              </w:rPr>
              <w:t>Yes</w:t>
            </w:r>
          </w:p>
        </w:tc>
        <w:tc>
          <w:tcPr>
            <w:tcW w:w="1212" w:type="dxa"/>
            <w:tcBorders>
              <w:top w:val="nil"/>
              <w:left w:val="single" w:sz="4" w:space="0" w:color="auto"/>
              <w:bottom w:val="nil"/>
              <w:right w:val="nil"/>
            </w:tcBorders>
            <w:shd w:val="clear" w:color="FFFFCC" w:fill="FFFFFF"/>
            <w:noWrap/>
            <w:vAlign w:val="bottom"/>
            <w:hideMark/>
          </w:tcPr>
          <w:p w14:paraId="0155235D" w14:textId="77777777" w:rsidR="000D6E73" w:rsidRPr="000D6E73" w:rsidRDefault="000D6E73" w:rsidP="000D6E73">
            <w:pPr>
              <w:spacing w:after="0" w:line="240" w:lineRule="auto"/>
              <w:jc w:val="center"/>
              <w:rPr>
                <w:rFonts w:ascii="Arial" w:eastAsia="Times New Roman" w:hAnsi="Arial" w:cs="Arial"/>
                <w:color w:val="000000"/>
                <w:sz w:val="20"/>
                <w:szCs w:val="20"/>
                <w:lang w:val="en-GB" w:eastAsia="en-GB"/>
              </w:rPr>
            </w:pPr>
            <w:r w:rsidRPr="000D6E73">
              <w:rPr>
                <w:rFonts w:ascii="Arial" w:eastAsia="Times New Roman" w:hAnsi="Arial" w:cs="Arial"/>
                <w:color w:val="0000FF"/>
                <w:sz w:val="20"/>
                <w:szCs w:val="20"/>
                <w:lang w:val="en-GB" w:eastAsia="en-GB"/>
              </w:rPr>
              <w:t>+18</w:t>
            </w:r>
          </w:p>
        </w:tc>
        <w:tc>
          <w:tcPr>
            <w:tcW w:w="1428" w:type="dxa"/>
            <w:tcBorders>
              <w:top w:val="nil"/>
              <w:left w:val="single" w:sz="4" w:space="0" w:color="FFFFFF"/>
              <w:bottom w:val="nil"/>
              <w:right w:val="single" w:sz="4" w:space="0" w:color="auto"/>
            </w:tcBorders>
            <w:shd w:val="clear" w:color="FFFFCC" w:fill="FFFFFF"/>
            <w:noWrap/>
            <w:vAlign w:val="bottom"/>
            <w:hideMark/>
          </w:tcPr>
          <w:p w14:paraId="3A3A6487" w14:textId="77777777" w:rsidR="000D6E73" w:rsidRPr="000D6E73" w:rsidRDefault="000D6E73" w:rsidP="000D6E73">
            <w:pPr>
              <w:spacing w:after="0" w:line="240" w:lineRule="auto"/>
              <w:jc w:val="center"/>
              <w:rPr>
                <w:rFonts w:ascii="Arial" w:eastAsia="Times New Roman" w:hAnsi="Arial" w:cs="Arial"/>
                <w:color w:val="000000"/>
                <w:sz w:val="20"/>
                <w:szCs w:val="20"/>
                <w:lang w:val="en-GB" w:eastAsia="en-GB"/>
              </w:rPr>
            </w:pPr>
            <w:r w:rsidRPr="000D6E73">
              <w:rPr>
                <w:rFonts w:ascii="Arial" w:eastAsia="Times New Roman" w:hAnsi="Arial" w:cs="Arial"/>
                <w:color w:val="0000FF"/>
                <w:sz w:val="20"/>
                <w:szCs w:val="20"/>
                <w:lang w:val="en-GB" w:eastAsia="en-GB"/>
              </w:rPr>
              <w:t>+7%</w:t>
            </w:r>
          </w:p>
        </w:tc>
        <w:tc>
          <w:tcPr>
            <w:tcW w:w="1073" w:type="dxa"/>
            <w:tcBorders>
              <w:top w:val="nil"/>
              <w:left w:val="nil"/>
              <w:bottom w:val="nil"/>
              <w:right w:val="nil"/>
            </w:tcBorders>
            <w:shd w:val="clear" w:color="FFFFCC" w:fill="FFFFFF"/>
            <w:noWrap/>
            <w:vAlign w:val="bottom"/>
            <w:hideMark/>
          </w:tcPr>
          <w:p w14:paraId="6D2F5C4B" w14:textId="77777777" w:rsidR="000D6E73" w:rsidRPr="000D6E73" w:rsidRDefault="000D6E73" w:rsidP="000D6E73">
            <w:pPr>
              <w:spacing w:after="0" w:line="240" w:lineRule="auto"/>
              <w:jc w:val="center"/>
              <w:rPr>
                <w:rFonts w:ascii="Arial" w:eastAsia="Times New Roman" w:hAnsi="Arial" w:cs="Arial"/>
                <w:color w:val="000000"/>
                <w:sz w:val="20"/>
                <w:szCs w:val="20"/>
                <w:lang w:val="en-GB" w:eastAsia="en-GB"/>
              </w:rPr>
            </w:pPr>
            <w:r w:rsidRPr="000D6E73">
              <w:rPr>
                <w:rFonts w:ascii="Arial" w:eastAsia="Times New Roman" w:hAnsi="Arial" w:cs="Arial"/>
                <w:color w:val="0000FF"/>
                <w:sz w:val="20"/>
                <w:szCs w:val="20"/>
                <w:lang w:val="en-GB" w:eastAsia="en-GB"/>
              </w:rPr>
              <w:t>+1</w:t>
            </w:r>
          </w:p>
        </w:tc>
        <w:tc>
          <w:tcPr>
            <w:tcW w:w="1807" w:type="dxa"/>
            <w:tcBorders>
              <w:top w:val="nil"/>
              <w:left w:val="single" w:sz="4" w:space="0" w:color="FFFFFF"/>
              <w:bottom w:val="nil"/>
              <w:right w:val="nil"/>
            </w:tcBorders>
            <w:shd w:val="clear" w:color="FFFFCC" w:fill="FFFFFF"/>
            <w:noWrap/>
            <w:vAlign w:val="bottom"/>
            <w:hideMark/>
          </w:tcPr>
          <w:p w14:paraId="4CF498F7" w14:textId="77777777" w:rsidR="000D6E73" w:rsidRPr="000D6E73" w:rsidRDefault="000D6E73" w:rsidP="000D6E73">
            <w:pPr>
              <w:spacing w:after="0" w:line="240" w:lineRule="auto"/>
              <w:jc w:val="center"/>
              <w:rPr>
                <w:rFonts w:ascii="Arial" w:eastAsia="Times New Roman" w:hAnsi="Arial" w:cs="Arial"/>
                <w:color w:val="000000"/>
                <w:sz w:val="20"/>
                <w:szCs w:val="20"/>
                <w:lang w:val="en-GB" w:eastAsia="en-GB"/>
              </w:rPr>
            </w:pPr>
            <w:r w:rsidRPr="000D6E73">
              <w:rPr>
                <w:rFonts w:ascii="Arial" w:eastAsia="Times New Roman" w:hAnsi="Arial" w:cs="Arial"/>
                <w:color w:val="0000FF"/>
                <w:sz w:val="20"/>
                <w:szCs w:val="20"/>
                <w:lang w:val="en-GB" w:eastAsia="en-GB"/>
              </w:rPr>
              <w:t>+3%</w:t>
            </w:r>
          </w:p>
        </w:tc>
        <w:tc>
          <w:tcPr>
            <w:tcW w:w="924" w:type="dxa"/>
            <w:tcBorders>
              <w:top w:val="nil"/>
              <w:left w:val="single" w:sz="4" w:space="0" w:color="auto"/>
              <w:bottom w:val="nil"/>
              <w:right w:val="nil"/>
            </w:tcBorders>
            <w:shd w:val="clear" w:color="FFFFCC" w:fill="FFFFFF"/>
            <w:noWrap/>
            <w:vAlign w:val="bottom"/>
            <w:hideMark/>
          </w:tcPr>
          <w:p w14:paraId="5E9D0EF9" w14:textId="77777777" w:rsidR="000D6E73" w:rsidRPr="000D6E73" w:rsidRDefault="000D6E73" w:rsidP="000D6E73">
            <w:pPr>
              <w:spacing w:after="0" w:line="240" w:lineRule="auto"/>
              <w:jc w:val="center"/>
              <w:rPr>
                <w:rFonts w:ascii="Arial" w:eastAsia="Times New Roman" w:hAnsi="Arial" w:cs="Arial"/>
                <w:color w:val="000000"/>
                <w:sz w:val="20"/>
                <w:szCs w:val="20"/>
                <w:lang w:val="en-GB" w:eastAsia="en-GB"/>
              </w:rPr>
            </w:pPr>
            <w:r w:rsidRPr="000D6E73">
              <w:rPr>
                <w:rFonts w:ascii="Arial" w:eastAsia="Times New Roman" w:hAnsi="Arial" w:cs="Arial"/>
                <w:color w:val="0000FF"/>
                <w:sz w:val="20"/>
                <w:szCs w:val="20"/>
                <w:lang w:val="en-GB" w:eastAsia="en-GB"/>
              </w:rPr>
              <w:t>+9</w:t>
            </w:r>
          </w:p>
        </w:tc>
        <w:tc>
          <w:tcPr>
            <w:tcW w:w="1956" w:type="dxa"/>
            <w:tcBorders>
              <w:top w:val="nil"/>
              <w:left w:val="single" w:sz="4" w:space="0" w:color="FFFFFF"/>
              <w:bottom w:val="nil"/>
              <w:right w:val="single" w:sz="4" w:space="0" w:color="FFFFFF"/>
            </w:tcBorders>
            <w:shd w:val="clear" w:color="FFFFCC" w:fill="FFFFFF"/>
            <w:noWrap/>
            <w:vAlign w:val="bottom"/>
            <w:hideMark/>
          </w:tcPr>
          <w:p w14:paraId="4A545F17" w14:textId="77777777" w:rsidR="000D6E73" w:rsidRPr="000D6E73" w:rsidRDefault="000D6E73" w:rsidP="000D6E73">
            <w:pPr>
              <w:spacing w:after="0" w:line="240" w:lineRule="auto"/>
              <w:jc w:val="center"/>
              <w:rPr>
                <w:rFonts w:ascii="Arial" w:eastAsia="Times New Roman" w:hAnsi="Arial" w:cs="Arial"/>
                <w:color w:val="000000"/>
                <w:sz w:val="20"/>
                <w:szCs w:val="20"/>
                <w:lang w:val="en-GB" w:eastAsia="en-GB"/>
              </w:rPr>
            </w:pPr>
            <w:r w:rsidRPr="000D6E73">
              <w:rPr>
                <w:rFonts w:ascii="Arial" w:eastAsia="Times New Roman" w:hAnsi="Arial" w:cs="Arial"/>
                <w:color w:val="0000FF"/>
                <w:sz w:val="20"/>
                <w:szCs w:val="20"/>
                <w:lang w:val="en-GB" w:eastAsia="en-GB"/>
              </w:rPr>
              <w:t>+41%</w:t>
            </w:r>
          </w:p>
        </w:tc>
      </w:tr>
      <w:tr w:rsidR="000D6E73" w:rsidRPr="000D6E73" w14:paraId="06D8AFCB" w14:textId="77777777" w:rsidTr="000D6E73">
        <w:trPr>
          <w:trHeight w:val="255"/>
        </w:trPr>
        <w:tc>
          <w:tcPr>
            <w:tcW w:w="940" w:type="dxa"/>
            <w:tcBorders>
              <w:top w:val="single" w:sz="4" w:space="0" w:color="DBDBDB"/>
              <w:left w:val="single" w:sz="4" w:space="0" w:color="FFFFFF"/>
              <w:bottom w:val="single" w:sz="4" w:space="0" w:color="000000"/>
              <w:right w:val="nil"/>
            </w:tcBorders>
            <w:shd w:val="clear" w:color="FFFFCC" w:fill="FF7D67"/>
            <w:noWrap/>
            <w:vAlign w:val="bottom"/>
            <w:hideMark/>
          </w:tcPr>
          <w:p w14:paraId="6533259B" w14:textId="77777777" w:rsidR="000D6E73" w:rsidRPr="000D6E73" w:rsidRDefault="000D6E73" w:rsidP="000D6E73">
            <w:pPr>
              <w:spacing w:after="0" w:line="240" w:lineRule="auto"/>
              <w:jc w:val="center"/>
              <w:rPr>
                <w:rFonts w:ascii="Arial" w:eastAsia="Times New Roman" w:hAnsi="Arial" w:cs="Arial"/>
                <w:b/>
                <w:bCs/>
                <w:color w:val="000000"/>
                <w:sz w:val="20"/>
                <w:szCs w:val="20"/>
                <w:lang w:val="en-GB" w:eastAsia="en-GB"/>
              </w:rPr>
            </w:pPr>
            <w:r w:rsidRPr="000D6E73">
              <w:rPr>
                <w:rFonts w:ascii="Arial" w:eastAsia="Times New Roman" w:hAnsi="Arial" w:cs="Arial"/>
                <w:b/>
                <w:bCs/>
                <w:color w:val="000000"/>
                <w:sz w:val="20"/>
                <w:szCs w:val="20"/>
                <w:lang w:val="en-GB" w:eastAsia="en-GB"/>
              </w:rPr>
              <w:t>No</w:t>
            </w:r>
          </w:p>
        </w:tc>
        <w:tc>
          <w:tcPr>
            <w:tcW w:w="1212" w:type="dxa"/>
            <w:tcBorders>
              <w:top w:val="single" w:sz="4" w:space="0" w:color="FFFFFF"/>
              <w:left w:val="single" w:sz="4" w:space="0" w:color="auto"/>
              <w:bottom w:val="single" w:sz="4" w:space="0" w:color="auto"/>
              <w:right w:val="nil"/>
            </w:tcBorders>
            <w:shd w:val="clear" w:color="FFFFCC" w:fill="FFFFFF"/>
            <w:noWrap/>
            <w:vAlign w:val="bottom"/>
            <w:hideMark/>
          </w:tcPr>
          <w:p w14:paraId="7636A06B" w14:textId="521F6DBD" w:rsidR="000D6E73" w:rsidRPr="000D6E73" w:rsidRDefault="000D6E73" w:rsidP="000D6E73">
            <w:pPr>
              <w:spacing w:after="0" w:line="240" w:lineRule="auto"/>
              <w:jc w:val="center"/>
              <w:rPr>
                <w:rFonts w:ascii="Arial" w:eastAsia="Times New Roman" w:hAnsi="Arial" w:cs="Arial"/>
                <w:color w:val="000000"/>
                <w:sz w:val="20"/>
                <w:szCs w:val="20"/>
                <w:lang w:val="en-GB" w:eastAsia="en-GB"/>
              </w:rPr>
            </w:pPr>
            <w:r w:rsidRPr="000D6E73">
              <w:rPr>
                <w:rFonts w:ascii="Arial" w:eastAsia="Times New Roman" w:hAnsi="Arial" w:cs="Arial"/>
                <w:color w:val="FF0000"/>
                <w:sz w:val="20"/>
                <w:szCs w:val="20"/>
                <w:lang w:val="en-GB" w:eastAsia="en-GB"/>
              </w:rPr>
              <w:t>-2</w:t>
            </w:r>
            <w:r w:rsidR="00A25B62">
              <w:rPr>
                <w:rFonts w:ascii="Arial" w:eastAsia="Times New Roman" w:hAnsi="Arial" w:cs="Arial"/>
                <w:color w:val="FF0000"/>
                <w:sz w:val="20"/>
                <w:szCs w:val="20"/>
                <w:lang w:val="en-GB" w:eastAsia="en-GB"/>
              </w:rPr>
              <w:t>3</w:t>
            </w:r>
          </w:p>
        </w:tc>
        <w:tc>
          <w:tcPr>
            <w:tcW w:w="1428" w:type="dxa"/>
            <w:tcBorders>
              <w:top w:val="single" w:sz="4" w:space="0" w:color="FFFFFF"/>
              <w:left w:val="single" w:sz="4" w:space="0" w:color="FFFFFF"/>
              <w:bottom w:val="single" w:sz="4" w:space="0" w:color="auto"/>
              <w:right w:val="single" w:sz="4" w:space="0" w:color="auto"/>
            </w:tcBorders>
            <w:shd w:val="clear" w:color="FFFFCC" w:fill="FFFFFF"/>
            <w:noWrap/>
            <w:vAlign w:val="bottom"/>
            <w:hideMark/>
          </w:tcPr>
          <w:p w14:paraId="28B52567" w14:textId="77777777" w:rsidR="000D6E73" w:rsidRPr="000D6E73" w:rsidRDefault="000D6E73" w:rsidP="000D6E73">
            <w:pPr>
              <w:spacing w:after="0" w:line="240" w:lineRule="auto"/>
              <w:jc w:val="center"/>
              <w:rPr>
                <w:rFonts w:ascii="Arial" w:eastAsia="Times New Roman" w:hAnsi="Arial" w:cs="Arial"/>
                <w:color w:val="000000"/>
                <w:sz w:val="20"/>
                <w:szCs w:val="20"/>
                <w:lang w:val="en-GB" w:eastAsia="en-GB"/>
              </w:rPr>
            </w:pPr>
            <w:r w:rsidRPr="000D6E73">
              <w:rPr>
                <w:rFonts w:ascii="Arial" w:eastAsia="Times New Roman" w:hAnsi="Arial" w:cs="Arial"/>
                <w:color w:val="FF0000"/>
                <w:sz w:val="20"/>
                <w:szCs w:val="20"/>
                <w:lang w:val="en-GB" w:eastAsia="en-GB"/>
              </w:rPr>
              <w:t>-7%</w:t>
            </w:r>
          </w:p>
        </w:tc>
        <w:tc>
          <w:tcPr>
            <w:tcW w:w="1073" w:type="dxa"/>
            <w:tcBorders>
              <w:top w:val="single" w:sz="4" w:space="0" w:color="FFFFFF"/>
              <w:left w:val="nil"/>
              <w:bottom w:val="single" w:sz="4" w:space="0" w:color="000000"/>
              <w:right w:val="nil"/>
            </w:tcBorders>
            <w:shd w:val="clear" w:color="FFFFCC" w:fill="FFFFFF"/>
            <w:noWrap/>
            <w:vAlign w:val="bottom"/>
            <w:hideMark/>
          </w:tcPr>
          <w:p w14:paraId="4868B610" w14:textId="77777777" w:rsidR="000D6E73" w:rsidRPr="000D6E73" w:rsidRDefault="000D6E73" w:rsidP="000D6E73">
            <w:pPr>
              <w:spacing w:after="0" w:line="240" w:lineRule="auto"/>
              <w:jc w:val="center"/>
              <w:rPr>
                <w:rFonts w:ascii="Arial" w:eastAsia="Times New Roman" w:hAnsi="Arial" w:cs="Arial"/>
                <w:color w:val="000000"/>
                <w:sz w:val="20"/>
                <w:szCs w:val="20"/>
                <w:lang w:val="en-GB" w:eastAsia="en-GB"/>
              </w:rPr>
            </w:pPr>
            <w:r w:rsidRPr="000D6E73">
              <w:rPr>
                <w:rFonts w:ascii="Arial" w:eastAsia="Times New Roman" w:hAnsi="Arial" w:cs="Arial"/>
                <w:color w:val="FF0000"/>
                <w:sz w:val="20"/>
                <w:szCs w:val="20"/>
                <w:lang w:val="en-GB" w:eastAsia="en-GB"/>
              </w:rPr>
              <w:t>-1</w:t>
            </w:r>
          </w:p>
        </w:tc>
        <w:tc>
          <w:tcPr>
            <w:tcW w:w="1807" w:type="dxa"/>
            <w:tcBorders>
              <w:top w:val="single" w:sz="4" w:space="0" w:color="FFFFFF"/>
              <w:left w:val="single" w:sz="4" w:space="0" w:color="FFFFFF"/>
              <w:bottom w:val="single" w:sz="4" w:space="0" w:color="000000"/>
              <w:right w:val="nil"/>
            </w:tcBorders>
            <w:shd w:val="clear" w:color="FFFFCC" w:fill="FFFFFF"/>
            <w:noWrap/>
            <w:vAlign w:val="bottom"/>
            <w:hideMark/>
          </w:tcPr>
          <w:p w14:paraId="741D4EE3" w14:textId="77777777" w:rsidR="000D6E73" w:rsidRPr="000D6E73" w:rsidRDefault="000D6E73" w:rsidP="000D6E73">
            <w:pPr>
              <w:spacing w:after="0" w:line="240" w:lineRule="auto"/>
              <w:jc w:val="center"/>
              <w:rPr>
                <w:rFonts w:ascii="Arial" w:eastAsia="Times New Roman" w:hAnsi="Arial" w:cs="Arial"/>
                <w:color w:val="000000"/>
                <w:sz w:val="20"/>
                <w:szCs w:val="20"/>
                <w:lang w:val="en-GB" w:eastAsia="en-GB"/>
              </w:rPr>
            </w:pPr>
            <w:r w:rsidRPr="000D6E73">
              <w:rPr>
                <w:rFonts w:ascii="Arial" w:eastAsia="Times New Roman" w:hAnsi="Arial" w:cs="Arial"/>
                <w:color w:val="FF0000"/>
                <w:sz w:val="20"/>
                <w:szCs w:val="20"/>
                <w:lang w:val="en-GB" w:eastAsia="en-GB"/>
              </w:rPr>
              <w:t>-3%</w:t>
            </w:r>
          </w:p>
        </w:tc>
        <w:tc>
          <w:tcPr>
            <w:tcW w:w="924" w:type="dxa"/>
            <w:tcBorders>
              <w:top w:val="single" w:sz="4" w:space="0" w:color="FFFFFF"/>
              <w:left w:val="single" w:sz="4" w:space="0" w:color="auto"/>
              <w:bottom w:val="single" w:sz="4" w:space="0" w:color="000000"/>
              <w:right w:val="nil"/>
            </w:tcBorders>
            <w:shd w:val="clear" w:color="FFFFCC" w:fill="FFFFFF"/>
            <w:noWrap/>
            <w:vAlign w:val="bottom"/>
            <w:hideMark/>
          </w:tcPr>
          <w:p w14:paraId="23685AD2" w14:textId="77777777" w:rsidR="000D6E73" w:rsidRPr="000D6E73" w:rsidRDefault="000D6E73" w:rsidP="000D6E73">
            <w:pPr>
              <w:spacing w:after="0" w:line="240" w:lineRule="auto"/>
              <w:jc w:val="center"/>
              <w:rPr>
                <w:rFonts w:ascii="Arial" w:eastAsia="Times New Roman" w:hAnsi="Arial" w:cs="Arial"/>
                <w:color w:val="000000"/>
                <w:sz w:val="20"/>
                <w:szCs w:val="20"/>
                <w:lang w:val="en-GB" w:eastAsia="en-GB"/>
              </w:rPr>
            </w:pPr>
            <w:r w:rsidRPr="000D6E73">
              <w:rPr>
                <w:rFonts w:ascii="Arial" w:eastAsia="Times New Roman" w:hAnsi="Arial" w:cs="Arial"/>
                <w:color w:val="FF0000"/>
                <w:sz w:val="20"/>
                <w:szCs w:val="20"/>
                <w:lang w:val="en-GB" w:eastAsia="en-GB"/>
              </w:rPr>
              <w:t>-9</w:t>
            </w:r>
          </w:p>
        </w:tc>
        <w:tc>
          <w:tcPr>
            <w:tcW w:w="1956" w:type="dxa"/>
            <w:tcBorders>
              <w:top w:val="single" w:sz="4" w:space="0" w:color="FFFFFF"/>
              <w:left w:val="single" w:sz="4" w:space="0" w:color="FFFFFF"/>
              <w:bottom w:val="single" w:sz="4" w:space="0" w:color="000000"/>
              <w:right w:val="single" w:sz="4" w:space="0" w:color="FFFFFF"/>
            </w:tcBorders>
            <w:shd w:val="clear" w:color="FFFFCC" w:fill="FFFFFF"/>
            <w:noWrap/>
            <w:vAlign w:val="bottom"/>
            <w:hideMark/>
          </w:tcPr>
          <w:p w14:paraId="7570E39B" w14:textId="77777777" w:rsidR="000D6E73" w:rsidRPr="000D6E73" w:rsidRDefault="000D6E73" w:rsidP="000D6E73">
            <w:pPr>
              <w:spacing w:after="0" w:line="240" w:lineRule="auto"/>
              <w:jc w:val="center"/>
              <w:rPr>
                <w:rFonts w:ascii="Arial" w:eastAsia="Times New Roman" w:hAnsi="Arial" w:cs="Arial"/>
                <w:color w:val="000000"/>
                <w:sz w:val="20"/>
                <w:szCs w:val="20"/>
                <w:lang w:val="en-GB" w:eastAsia="en-GB"/>
              </w:rPr>
            </w:pPr>
            <w:r w:rsidRPr="000D6E73">
              <w:rPr>
                <w:rFonts w:ascii="Arial" w:eastAsia="Times New Roman" w:hAnsi="Arial" w:cs="Arial"/>
                <w:color w:val="FF0000"/>
                <w:sz w:val="20"/>
                <w:szCs w:val="20"/>
                <w:lang w:val="en-GB" w:eastAsia="en-GB"/>
              </w:rPr>
              <w:t>-41%</w:t>
            </w:r>
          </w:p>
        </w:tc>
      </w:tr>
    </w:tbl>
    <w:p w14:paraId="63A5A649" w14:textId="58126E62" w:rsidR="0085247B" w:rsidRDefault="0085247B" w:rsidP="00BB0325"/>
    <w:tbl>
      <w:tblPr>
        <w:tblW w:w="9340" w:type="dxa"/>
        <w:tblLook w:val="04A0" w:firstRow="1" w:lastRow="0" w:firstColumn="1" w:lastColumn="0" w:noHBand="0" w:noVBand="1"/>
      </w:tblPr>
      <w:tblGrid>
        <w:gridCol w:w="940"/>
        <w:gridCol w:w="1064"/>
        <w:gridCol w:w="1576"/>
        <w:gridCol w:w="924"/>
        <w:gridCol w:w="1956"/>
        <w:gridCol w:w="924"/>
        <w:gridCol w:w="1956"/>
      </w:tblGrid>
      <w:tr w:rsidR="00005B77" w:rsidRPr="00005B77" w14:paraId="0EB9D507" w14:textId="77777777" w:rsidTr="00005B77">
        <w:trPr>
          <w:trHeight w:val="255"/>
        </w:trPr>
        <w:tc>
          <w:tcPr>
            <w:tcW w:w="940" w:type="dxa"/>
            <w:vMerge w:val="restart"/>
            <w:tcBorders>
              <w:top w:val="single" w:sz="4" w:space="0" w:color="auto"/>
              <w:left w:val="single" w:sz="4" w:space="0" w:color="auto"/>
              <w:bottom w:val="single" w:sz="4" w:space="0" w:color="000000"/>
              <w:right w:val="single" w:sz="4" w:space="0" w:color="auto"/>
            </w:tcBorders>
            <w:shd w:val="clear" w:color="FFFFCC" w:fill="FFFFFF"/>
            <w:vAlign w:val="bottom"/>
            <w:hideMark/>
          </w:tcPr>
          <w:p w14:paraId="5BBEB81F" w14:textId="77777777" w:rsidR="00005B77" w:rsidRPr="00005B77" w:rsidRDefault="00005B77" w:rsidP="00005B77">
            <w:pPr>
              <w:spacing w:after="0" w:line="240" w:lineRule="auto"/>
              <w:jc w:val="center"/>
              <w:rPr>
                <w:rFonts w:ascii="Arial" w:eastAsia="Times New Roman" w:hAnsi="Arial" w:cs="Arial"/>
                <w:b/>
                <w:bCs/>
                <w:color w:val="000000"/>
                <w:sz w:val="20"/>
                <w:szCs w:val="20"/>
                <w:lang w:val="en-GB" w:eastAsia="en-GB"/>
              </w:rPr>
            </w:pPr>
            <w:r w:rsidRPr="00005B77">
              <w:rPr>
                <w:rFonts w:ascii="Arial" w:eastAsia="Times New Roman" w:hAnsi="Arial" w:cs="Arial"/>
                <w:b/>
                <w:bCs/>
                <w:color w:val="000000"/>
                <w:sz w:val="20"/>
                <w:szCs w:val="20"/>
                <w:lang w:val="en-GB" w:eastAsia="en-GB"/>
              </w:rPr>
              <w:t>∆ S167 Grade</w:t>
            </w:r>
          </w:p>
        </w:tc>
        <w:tc>
          <w:tcPr>
            <w:tcW w:w="2640" w:type="dxa"/>
            <w:gridSpan w:val="2"/>
            <w:tcBorders>
              <w:top w:val="single" w:sz="4" w:space="0" w:color="auto"/>
              <w:left w:val="nil"/>
              <w:bottom w:val="nil"/>
              <w:right w:val="single" w:sz="4" w:space="0" w:color="000000"/>
            </w:tcBorders>
            <w:shd w:val="clear" w:color="FFFFCC" w:fill="FFFFFF"/>
            <w:noWrap/>
            <w:vAlign w:val="bottom"/>
            <w:hideMark/>
          </w:tcPr>
          <w:p w14:paraId="3EAA651D" w14:textId="77777777" w:rsidR="00005B77" w:rsidRPr="00005B77" w:rsidRDefault="00005B77" w:rsidP="00005B77">
            <w:pPr>
              <w:spacing w:after="0" w:line="240" w:lineRule="auto"/>
              <w:jc w:val="center"/>
              <w:rPr>
                <w:rFonts w:ascii="Arial" w:eastAsia="Times New Roman" w:hAnsi="Arial" w:cs="Arial"/>
                <w:b/>
                <w:bCs/>
                <w:color w:val="000000"/>
                <w:sz w:val="20"/>
                <w:szCs w:val="20"/>
                <w:lang w:val="en-GB" w:eastAsia="en-GB"/>
              </w:rPr>
            </w:pPr>
            <w:r w:rsidRPr="00005B77">
              <w:rPr>
                <w:rFonts w:ascii="Arial" w:eastAsia="Times New Roman" w:hAnsi="Arial" w:cs="Arial"/>
                <w:b/>
                <w:bCs/>
                <w:color w:val="000000"/>
                <w:sz w:val="20"/>
                <w:szCs w:val="20"/>
                <w:lang w:val="en-GB" w:eastAsia="en-GB"/>
              </w:rPr>
              <w:t>England</w:t>
            </w:r>
          </w:p>
        </w:tc>
        <w:tc>
          <w:tcPr>
            <w:tcW w:w="2880" w:type="dxa"/>
            <w:gridSpan w:val="2"/>
            <w:tcBorders>
              <w:top w:val="single" w:sz="4" w:space="0" w:color="auto"/>
              <w:left w:val="nil"/>
              <w:bottom w:val="nil"/>
              <w:right w:val="nil"/>
            </w:tcBorders>
            <w:shd w:val="clear" w:color="FFFFCC" w:fill="FFFFFF"/>
            <w:noWrap/>
            <w:vAlign w:val="bottom"/>
            <w:hideMark/>
          </w:tcPr>
          <w:p w14:paraId="29F5D9EF" w14:textId="77777777" w:rsidR="00005B77" w:rsidRPr="00005B77" w:rsidRDefault="00005B77" w:rsidP="00005B77">
            <w:pPr>
              <w:spacing w:after="0" w:line="240" w:lineRule="auto"/>
              <w:jc w:val="center"/>
              <w:rPr>
                <w:rFonts w:ascii="Arial" w:eastAsia="Times New Roman" w:hAnsi="Arial" w:cs="Arial"/>
                <w:b/>
                <w:bCs/>
                <w:color w:val="000000"/>
                <w:sz w:val="20"/>
                <w:szCs w:val="20"/>
                <w:lang w:val="en-GB" w:eastAsia="en-GB"/>
              </w:rPr>
            </w:pPr>
            <w:r w:rsidRPr="00005B77">
              <w:rPr>
                <w:rFonts w:ascii="Arial" w:eastAsia="Times New Roman" w:hAnsi="Arial" w:cs="Arial"/>
                <w:b/>
                <w:bCs/>
                <w:color w:val="000000"/>
                <w:sz w:val="20"/>
                <w:szCs w:val="20"/>
                <w:lang w:val="en-GB" w:eastAsia="en-GB"/>
              </w:rPr>
              <w:t>Scotland</w:t>
            </w:r>
          </w:p>
        </w:tc>
        <w:tc>
          <w:tcPr>
            <w:tcW w:w="2880" w:type="dxa"/>
            <w:gridSpan w:val="2"/>
            <w:tcBorders>
              <w:top w:val="single" w:sz="4" w:space="0" w:color="auto"/>
              <w:left w:val="single" w:sz="4" w:space="0" w:color="auto"/>
              <w:bottom w:val="nil"/>
              <w:right w:val="single" w:sz="4" w:space="0" w:color="000000"/>
            </w:tcBorders>
            <w:shd w:val="clear" w:color="FFFFCC" w:fill="FFFFFF"/>
            <w:noWrap/>
            <w:vAlign w:val="bottom"/>
            <w:hideMark/>
          </w:tcPr>
          <w:p w14:paraId="57B67BD7" w14:textId="77777777" w:rsidR="00005B77" w:rsidRPr="00005B77" w:rsidRDefault="00005B77" w:rsidP="00005B77">
            <w:pPr>
              <w:spacing w:after="0" w:line="240" w:lineRule="auto"/>
              <w:jc w:val="center"/>
              <w:rPr>
                <w:rFonts w:ascii="Arial" w:eastAsia="Times New Roman" w:hAnsi="Arial" w:cs="Arial"/>
                <w:b/>
                <w:bCs/>
                <w:color w:val="000000"/>
                <w:sz w:val="20"/>
                <w:szCs w:val="20"/>
                <w:lang w:val="en-GB" w:eastAsia="en-GB"/>
              </w:rPr>
            </w:pPr>
            <w:r w:rsidRPr="00005B77">
              <w:rPr>
                <w:rFonts w:ascii="Arial" w:eastAsia="Times New Roman" w:hAnsi="Arial" w:cs="Arial"/>
                <w:b/>
                <w:bCs/>
                <w:color w:val="000000"/>
                <w:sz w:val="20"/>
                <w:szCs w:val="20"/>
                <w:lang w:val="en-GB" w:eastAsia="en-GB"/>
              </w:rPr>
              <w:t>Wales</w:t>
            </w:r>
          </w:p>
        </w:tc>
      </w:tr>
      <w:tr w:rsidR="00005B77" w:rsidRPr="00005B77" w14:paraId="4F0BDE70" w14:textId="77777777" w:rsidTr="00005B77">
        <w:trPr>
          <w:trHeight w:val="255"/>
        </w:trPr>
        <w:tc>
          <w:tcPr>
            <w:tcW w:w="940" w:type="dxa"/>
            <w:vMerge/>
            <w:tcBorders>
              <w:top w:val="single" w:sz="4" w:space="0" w:color="auto"/>
              <w:left w:val="single" w:sz="4" w:space="0" w:color="auto"/>
              <w:bottom w:val="single" w:sz="4" w:space="0" w:color="000000"/>
              <w:right w:val="single" w:sz="4" w:space="0" w:color="auto"/>
            </w:tcBorders>
            <w:vAlign w:val="center"/>
            <w:hideMark/>
          </w:tcPr>
          <w:p w14:paraId="0A2E32EE" w14:textId="77777777" w:rsidR="00005B77" w:rsidRPr="00005B77" w:rsidRDefault="00005B77" w:rsidP="00005B77">
            <w:pPr>
              <w:spacing w:after="0" w:line="240" w:lineRule="auto"/>
              <w:jc w:val="left"/>
              <w:rPr>
                <w:rFonts w:ascii="Arial" w:eastAsia="Times New Roman" w:hAnsi="Arial" w:cs="Arial"/>
                <w:b/>
                <w:bCs/>
                <w:color w:val="000000"/>
                <w:sz w:val="20"/>
                <w:szCs w:val="20"/>
                <w:lang w:val="en-GB" w:eastAsia="en-GB"/>
              </w:rPr>
            </w:pPr>
          </w:p>
        </w:tc>
        <w:tc>
          <w:tcPr>
            <w:tcW w:w="1064" w:type="dxa"/>
            <w:tcBorders>
              <w:top w:val="nil"/>
              <w:left w:val="nil"/>
              <w:bottom w:val="single" w:sz="4" w:space="0" w:color="auto"/>
              <w:right w:val="nil"/>
            </w:tcBorders>
            <w:shd w:val="clear" w:color="FFFFCC" w:fill="FFFFFF"/>
            <w:noWrap/>
            <w:vAlign w:val="bottom"/>
            <w:hideMark/>
          </w:tcPr>
          <w:p w14:paraId="29648F95" w14:textId="77777777" w:rsidR="00005B77" w:rsidRPr="00005B77" w:rsidRDefault="00005B77" w:rsidP="00005B77">
            <w:pPr>
              <w:spacing w:after="0" w:line="240" w:lineRule="auto"/>
              <w:jc w:val="center"/>
              <w:rPr>
                <w:rFonts w:ascii="Arial" w:eastAsia="Times New Roman" w:hAnsi="Arial" w:cs="Arial"/>
                <w:b/>
                <w:bCs/>
                <w:color w:val="000000"/>
                <w:sz w:val="20"/>
                <w:szCs w:val="20"/>
                <w:lang w:val="en-GB" w:eastAsia="en-GB"/>
              </w:rPr>
            </w:pPr>
            <w:r w:rsidRPr="00005B77">
              <w:rPr>
                <w:rFonts w:ascii="Arial" w:eastAsia="Times New Roman" w:hAnsi="Arial" w:cs="Arial"/>
                <w:b/>
                <w:bCs/>
                <w:color w:val="000000"/>
                <w:sz w:val="20"/>
                <w:szCs w:val="20"/>
                <w:lang w:val="en-GB" w:eastAsia="en-GB"/>
              </w:rPr>
              <w:t>#</w:t>
            </w:r>
          </w:p>
        </w:tc>
        <w:tc>
          <w:tcPr>
            <w:tcW w:w="1576" w:type="dxa"/>
            <w:tcBorders>
              <w:top w:val="nil"/>
              <w:left w:val="nil"/>
              <w:bottom w:val="single" w:sz="4" w:space="0" w:color="auto"/>
              <w:right w:val="single" w:sz="4" w:space="0" w:color="auto"/>
            </w:tcBorders>
            <w:shd w:val="clear" w:color="FFFFCC" w:fill="FFFFFF"/>
            <w:noWrap/>
            <w:vAlign w:val="bottom"/>
            <w:hideMark/>
          </w:tcPr>
          <w:p w14:paraId="11E506AC" w14:textId="77777777" w:rsidR="00005B77" w:rsidRPr="00005B77" w:rsidRDefault="00005B77" w:rsidP="00005B77">
            <w:pPr>
              <w:spacing w:after="0" w:line="240" w:lineRule="auto"/>
              <w:jc w:val="center"/>
              <w:rPr>
                <w:rFonts w:ascii="Arial" w:eastAsia="Times New Roman" w:hAnsi="Arial" w:cs="Arial"/>
                <w:b/>
                <w:bCs/>
                <w:color w:val="000000"/>
                <w:sz w:val="20"/>
                <w:szCs w:val="20"/>
                <w:lang w:val="en-GB" w:eastAsia="en-GB"/>
              </w:rPr>
            </w:pPr>
            <w:r w:rsidRPr="00005B77">
              <w:rPr>
                <w:rFonts w:ascii="Arial" w:eastAsia="Times New Roman" w:hAnsi="Arial" w:cs="Arial"/>
                <w:b/>
                <w:bCs/>
                <w:color w:val="000000"/>
                <w:sz w:val="20"/>
                <w:szCs w:val="20"/>
                <w:lang w:val="en-GB" w:eastAsia="en-GB"/>
              </w:rPr>
              <w:t>%</w:t>
            </w:r>
          </w:p>
        </w:tc>
        <w:tc>
          <w:tcPr>
            <w:tcW w:w="924" w:type="dxa"/>
            <w:tcBorders>
              <w:top w:val="nil"/>
              <w:left w:val="nil"/>
              <w:bottom w:val="single" w:sz="4" w:space="0" w:color="auto"/>
              <w:right w:val="nil"/>
            </w:tcBorders>
            <w:shd w:val="clear" w:color="FFFFCC" w:fill="FFFFFF"/>
            <w:noWrap/>
            <w:vAlign w:val="bottom"/>
            <w:hideMark/>
          </w:tcPr>
          <w:p w14:paraId="1A3DA929" w14:textId="77777777" w:rsidR="00005B77" w:rsidRPr="00005B77" w:rsidRDefault="00005B77" w:rsidP="00005B77">
            <w:pPr>
              <w:spacing w:after="0" w:line="240" w:lineRule="auto"/>
              <w:jc w:val="center"/>
              <w:rPr>
                <w:rFonts w:ascii="Arial" w:eastAsia="Times New Roman" w:hAnsi="Arial" w:cs="Arial"/>
                <w:b/>
                <w:bCs/>
                <w:color w:val="000000"/>
                <w:sz w:val="20"/>
                <w:szCs w:val="20"/>
                <w:lang w:val="en-GB" w:eastAsia="en-GB"/>
              </w:rPr>
            </w:pPr>
            <w:r w:rsidRPr="00005B77">
              <w:rPr>
                <w:rFonts w:ascii="Arial" w:eastAsia="Times New Roman" w:hAnsi="Arial" w:cs="Arial"/>
                <w:b/>
                <w:bCs/>
                <w:color w:val="000000"/>
                <w:sz w:val="20"/>
                <w:szCs w:val="20"/>
                <w:lang w:val="en-GB" w:eastAsia="en-GB"/>
              </w:rPr>
              <w:t>#</w:t>
            </w:r>
          </w:p>
        </w:tc>
        <w:tc>
          <w:tcPr>
            <w:tcW w:w="1956" w:type="dxa"/>
            <w:tcBorders>
              <w:top w:val="nil"/>
              <w:left w:val="nil"/>
              <w:bottom w:val="single" w:sz="4" w:space="0" w:color="auto"/>
              <w:right w:val="nil"/>
            </w:tcBorders>
            <w:shd w:val="clear" w:color="FFFFCC" w:fill="FFFFFF"/>
            <w:noWrap/>
            <w:vAlign w:val="bottom"/>
            <w:hideMark/>
          </w:tcPr>
          <w:p w14:paraId="4A8F57F8" w14:textId="77777777" w:rsidR="00005B77" w:rsidRPr="00005B77" w:rsidRDefault="00005B77" w:rsidP="00005B77">
            <w:pPr>
              <w:spacing w:after="0" w:line="240" w:lineRule="auto"/>
              <w:jc w:val="center"/>
              <w:rPr>
                <w:rFonts w:ascii="Arial" w:eastAsia="Times New Roman" w:hAnsi="Arial" w:cs="Arial"/>
                <w:b/>
                <w:bCs/>
                <w:color w:val="000000"/>
                <w:sz w:val="20"/>
                <w:szCs w:val="20"/>
                <w:lang w:val="en-GB" w:eastAsia="en-GB"/>
              </w:rPr>
            </w:pPr>
            <w:r w:rsidRPr="00005B77">
              <w:rPr>
                <w:rFonts w:ascii="Arial" w:eastAsia="Times New Roman" w:hAnsi="Arial" w:cs="Arial"/>
                <w:b/>
                <w:bCs/>
                <w:color w:val="000000"/>
                <w:sz w:val="20"/>
                <w:szCs w:val="20"/>
                <w:lang w:val="en-GB" w:eastAsia="en-GB"/>
              </w:rPr>
              <w:t>%</w:t>
            </w:r>
          </w:p>
        </w:tc>
        <w:tc>
          <w:tcPr>
            <w:tcW w:w="924" w:type="dxa"/>
            <w:tcBorders>
              <w:top w:val="nil"/>
              <w:left w:val="single" w:sz="4" w:space="0" w:color="auto"/>
              <w:bottom w:val="single" w:sz="4" w:space="0" w:color="auto"/>
              <w:right w:val="nil"/>
            </w:tcBorders>
            <w:shd w:val="clear" w:color="FFFFCC" w:fill="FFFFFF"/>
            <w:noWrap/>
            <w:vAlign w:val="bottom"/>
            <w:hideMark/>
          </w:tcPr>
          <w:p w14:paraId="782EA945" w14:textId="77777777" w:rsidR="00005B77" w:rsidRPr="00005B77" w:rsidRDefault="00005B77" w:rsidP="00005B77">
            <w:pPr>
              <w:spacing w:after="0" w:line="240" w:lineRule="auto"/>
              <w:jc w:val="center"/>
              <w:rPr>
                <w:rFonts w:ascii="Arial" w:eastAsia="Times New Roman" w:hAnsi="Arial" w:cs="Arial"/>
                <w:b/>
                <w:bCs/>
                <w:color w:val="000000"/>
                <w:sz w:val="20"/>
                <w:szCs w:val="20"/>
                <w:lang w:val="en-GB" w:eastAsia="en-GB"/>
              </w:rPr>
            </w:pPr>
            <w:r w:rsidRPr="00005B77">
              <w:rPr>
                <w:rFonts w:ascii="Arial" w:eastAsia="Times New Roman" w:hAnsi="Arial" w:cs="Arial"/>
                <w:b/>
                <w:bCs/>
                <w:color w:val="000000"/>
                <w:sz w:val="20"/>
                <w:szCs w:val="20"/>
                <w:lang w:val="en-GB" w:eastAsia="en-GB"/>
              </w:rPr>
              <w:t>#</w:t>
            </w:r>
          </w:p>
        </w:tc>
        <w:tc>
          <w:tcPr>
            <w:tcW w:w="1956" w:type="dxa"/>
            <w:tcBorders>
              <w:top w:val="nil"/>
              <w:left w:val="nil"/>
              <w:bottom w:val="single" w:sz="4" w:space="0" w:color="auto"/>
              <w:right w:val="single" w:sz="4" w:space="0" w:color="auto"/>
            </w:tcBorders>
            <w:shd w:val="clear" w:color="FFFFCC" w:fill="FFFFFF"/>
            <w:noWrap/>
            <w:vAlign w:val="bottom"/>
            <w:hideMark/>
          </w:tcPr>
          <w:p w14:paraId="3120B6A6" w14:textId="77777777" w:rsidR="00005B77" w:rsidRPr="00005B77" w:rsidRDefault="00005B77" w:rsidP="00005B77">
            <w:pPr>
              <w:spacing w:after="0" w:line="240" w:lineRule="auto"/>
              <w:jc w:val="center"/>
              <w:rPr>
                <w:rFonts w:ascii="Arial" w:eastAsia="Times New Roman" w:hAnsi="Arial" w:cs="Arial"/>
                <w:b/>
                <w:bCs/>
                <w:color w:val="000000"/>
                <w:sz w:val="20"/>
                <w:szCs w:val="20"/>
                <w:lang w:val="en-GB" w:eastAsia="en-GB"/>
              </w:rPr>
            </w:pPr>
            <w:r w:rsidRPr="00005B77">
              <w:rPr>
                <w:rFonts w:ascii="Arial" w:eastAsia="Times New Roman" w:hAnsi="Arial" w:cs="Arial"/>
                <w:b/>
                <w:bCs/>
                <w:color w:val="000000"/>
                <w:sz w:val="20"/>
                <w:szCs w:val="20"/>
                <w:lang w:val="en-GB" w:eastAsia="en-GB"/>
              </w:rPr>
              <w:t>%</w:t>
            </w:r>
          </w:p>
        </w:tc>
      </w:tr>
      <w:tr w:rsidR="00005B77" w:rsidRPr="00005B77" w14:paraId="413552B6" w14:textId="77777777" w:rsidTr="00005B77">
        <w:trPr>
          <w:trHeight w:val="255"/>
        </w:trPr>
        <w:tc>
          <w:tcPr>
            <w:tcW w:w="940" w:type="dxa"/>
            <w:tcBorders>
              <w:top w:val="single" w:sz="4" w:space="0" w:color="8EA9DB"/>
              <w:left w:val="single" w:sz="4" w:space="0" w:color="8EA9DB"/>
              <w:bottom w:val="single" w:sz="4" w:space="0" w:color="8EA9DB"/>
              <w:right w:val="single" w:sz="4" w:space="0" w:color="FFFFFF"/>
            </w:tcBorders>
            <w:shd w:val="clear" w:color="FFFFCC" w:fill="B0CC66"/>
            <w:noWrap/>
            <w:vAlign w:val="bottom"/>
            <w:hideMark/>
          </w:tcPr>
          <w:p w14:paraId="15614A41" w14:textId="77777777" w:rsidR="00005B77" w:rsidRPr="00005B77" w:rsidRDefault="00005B77" w:rsidP="00005B77">
            <w:pPr>
              <w:spacing w:after="0" w:line="240" w:lineRule="auto"/>
              <w:jc w:val="center"/>
              <w:rPr>
                <w:rFonts w:ascii="Arial" w:eastAsia="Times New Roman" w:hAnsi="Arial" w:cs="Arial"/>
                <w:b/>
                <w:bCs/>
                <w:color w:val="375623"/>
                <w:sz w:val="20"/>
                <w:szCs w:val="20"/>
                <w:lang w:val="en-GB" w:eastAsia="en-GB"/>
              </w:rPr>
            </w:pPr>
            <w:r w:rsidRPr="00005B77">
              <w:rPr>
                <w:rFonts w:ascii="Arial" w:eastAsia="Times New Roman" w:hAnsi="Arial" w:cs="Arial"/>
                <w:b/>
                <w:bCs/>
                <w:color w:val="375623"/>
                <w:sz w:val="20"/>
                <w:szCs w:val="20"/>
                <w:lang w:val="en-GB" w:eastAsia="en-GB"/>
              </w:rPr>
              <w:t>A</w:t>
            </w:r>
          </w:p>
        </w:tc>
        <w:tc>
          <w:tcPr>
            <w:tcW w:w="1064" w:type="dxa"/>
            <w:tcBorders>
              <w:top w:val="single" w:sz="4" w:space="0" w:color="757171"/>
              <w:left w:val="nil"/>
              <w:bottom w:val="single" w:sz="4" w:space="0" w:color="FFFFFF"/>
              <w:right w:val="single" w:sz="4" w:space="0" w:color="FFFFFF"/>
            </w:tcBorders>
            <w:shd w:val="clear" w:color="FFFFCC" w:fill="FFFFFF"/>
            <w:noWrap/>
            <w:vAlign w:val="bottom"/>
            <w:hideMark/>
          </w:tcPr>
          <w:p w14:paraId="506A51BD" w14:textId="77777777" w:rsidR="00005B77" w:rsidRPr="00005B77" w:rsidRDefault="00005B77" w:rsidP="00005B77">
            <w:pPr>
              <w:spacing w:after="0" w:line="240" w:lineRule="auto"/>
              <w:jc w:val="center"/>
              <w:rPr>
                <w:rFonts w:ascii="Arial" w:eastAsia="Times New Roman" w:hAnsi="Arial" w:cs="Arial"/>
                <w:color w:val="000000"/>
                <w:sz w:val="20"/>
                <w:szCs w:val="20"/>
                <w:lang w:val="en-GB" w:eastAsia="en-GB"/>
              </w:rPr>
            </w:pPr>
            <w:r w:rsidRPr="00005B77">
              <w:rPr>
                <w:rFonts w:ascii="Arial" w:eastAsia="Times New Roman" w:hAnsi="Arial" w:cs="Arial"/>
                <w:color w:val="0000FF"/>
                <w:sz w:val="20"/>
                <w:szCs w:val="20"/>
                <w:lang w:val="en-GB" w:eastAsia="en-GB"/>
              </w:rPr>
              <w:t>+67</w:t>
            </w:r>
          </w:p>
        </w:tc>
        <w:tc>
          <w:tcPr>
            <w:tcW w:w="1576" w:type="dxa"/>
            <w:tcBorders>
              <w:top w:val="single" w:sz="4" w:space="0" w:color="757171"/>
              <w:left w:val="nil"/>
              <w:bottom w:val="single" w:sz="4" w:space="0" w:color="FFFFFF"/>
              <w:right w:val="single" w:sz="4" w:space="0" w:color="FFFFFF"/>
            </w:tcBorders>
            <w:shd w:val="clear" w:color="FFFFCC" w:fill="FFFFFF"/>
            <w:noWrap/>
            <w:vAlign w:val="bottom"/>
            <w:hideMark/>
          </w:tcPr>
          <w:p w14:paraId="19CEAD5C" w14:textId="1EDAA02B" w:rsidR="00005B77" w:rsidRPr="00005B77" w:rsidRDefault="00005B77" w:rsidP="00005B77">
            <w:pPr>
              <w:spacing w:after="0" w:line="240" w:lineRule="auto"/>
              <w:jc w:val="center"/>
              <w:rPr>
                <w:rFonts w:ascii="Arial" w:eastAsia="Times New Roman" w:hAnsi="Arial" w:cs="Arial"/>
                <w:color w:val="000000"/>
                <w:sz w:val="20"/>
                <w:szCs w:val="20"/>
                <w:lang w:val="en-GB" w:eastAsia="en-GB"/>
              </w:rPr>
            </w:pPr>
            <w:r w:rsidRPr="00005B77">
              <w:rPr>
                <w:rFonts w:ascii="Arial" w:eastAsia="Times New Roman" w:hAnsi="Arial" w:cs="Arial"/>
                <w:color w:val="0000FF"/>
                <w:sz w:val="20"/>
                <w:szCs w:val="20"/>
                <w:lang w:val="en-GB" w:eastAsia="en-GB"/>
              </w:rPr>
              <w:t>+2</w:t>
            </w:r>
            <w:r w:rsidR="00A25B62">
              <w:rPr>
                <w:rFonts w:ascii="Arial" w:eastAsia="Times New Roman" w:hAnsi="Arial" w:cs="Arial"/>
                <w:color w:val="0000FF"/>
                <w:sz w:val="20"/>
                <w:szCs w:val="20"/>
                <w:lang w:val="en-GB" w:eastAsia="en-GB"/>
              </w:rPr>
              <w:t>3</w:t>
            </w:r>
            <w:r w:rsidRPr="00005B77">
              <w:rPr>
                <w:rFonts w:ascii="Arial" w:eastAsia="Times New Roman" w:hAnsi="Arial" w:cs="Arial"/>
                <w:color w:val="0000FF"/>
                <w:sz w:val="20"/>
                <w:szCs w:val="20"/>
                <w:lang w:val="en-GB" w:eastAsia="en-GB"/>
              </w:rPr>
              <w:t>%</w:t>
            </w:r>
          </w:p>
        </w:tc>
        <w:tc>
          <w:tcPr>
            <w:tcW w:w="924" w:type="dxa"/>
            <w:tcBorders>
              <w:top w:val="single" w:sz="4" w:space="0" w:color="757171"/>
              <w:left w:val="nil"/>
              <w:bottom w:val="single" w:sz="4" w:space="0" w:color="FFFFFF"/>
              <w:right w:val="single" w:sz="4" w:space="0" w:color="FFFFFF"/>
            </w:tcBorders>
            <w:shd w:val="clear" w:color="FFFFCC" w:fill="FFFFFF"/>
            <w:noWrap/>
            <w:vAlign w:val="bottom"/>
            <w:hideMark/>
          </w:tcPr>
          <w:p w14:paraId="28DD52E7" w14:textId="77777777" w:rsidR="00005B77" w:rsidRPr="00005B77" w:rsidRDefault="00005B77" w:rsidP="00005B77">
            <w:pPr>
              <w:spacing w:after="0" w:line="240" w:lineRule="auto"/>
              <w:jc w:val="center"/>
              <w:rPr>
                <w:rFonts w:ascii="Arial" w:eastAsia="Times New Roman" w:hAnsi="Arial" w:cs="Arial"/>
                <w:color w:val="000000"/>
                <w:sz w:val="20"/>
                <w:szCs w:val="20"/>
                <w:lang w:val="en-GB" w:eastAsia="en-GB"/>
              </w:rPr>
            </w:pPr>
            <w:r w:rsidRPr="00005B77">
              <w:rPr>
                <w:rFonts w:ascii="Arial" w:eastAsia="Times New Roman" w:hAnsi="Arial" w:cs="Arial"/>
                <w:color w:val="0000FF"/>
                <w:sz w:val="20"/>
                <w:szCs w:val="20"/>
                <w:lang w:val="en-GB" w:eastAsia="en-GB"/>
              </w:rPr>
              <w:t>+6</w:t>
            </w:r>
          </w:p>
        </w:tc>
        <w:tc>
          <w:tcPr>
            <w:tcW w:w="1956" w:type="dxa"/>
            <w:tcBorders>
              <w:top w:val="single" w:sz="4" w:space="0" w:color="757171"/>
              <w:left w:val="nil"/>
              <w:bottom w:val="single" w:sz="4" w:space="0" w:color="FFFFFF"/>
              <w:right w:val="single" w:sz="4" w:space="0" w:color="FFFFFF"/>
            </w:tcBorders>
            <w:shd w:val="clear" w:color="FFFFCC" w:fill="FFFFFF"/>
            <w:noWrap/>
            <w:vAlign w:val="bottom"/>
            <w:hideMark/>
          </w:tcPr>
          <w:p w14:paraId="4DC22F66" w14:textId="77777777" w:rsidR="00005B77" w:rsidRPr="00005B77" w:rsidRDefault="00005B77" w:rsidP="00005B77">
            <w:pPr>
              <w:spacing w:after="0" w:line="240" w:lineRule="auto"/>
              <w:jc w:val="center"/>
              <w:rPr>
                <w:rFonts w:ascii="Arial" w:eastAsia="Times New Roman" w:hAnsi="Arial" w:cs="Arial"/>
                <w:color w:val="000000"/>
                <w:sz w:val="20"/>
                <w:szCs w:val="20"/>
                <w:lang w:val="en-GB" w:eastAsia="en-GB"/>
              </w:rPr>
            </w:pPr>
            <w:r w:rsidRPr="00005B77">
              <w:rPr>
                <w:rFonts w:ascii="Arial" w:eastAsia="Times New Roman" w:hAnsi="Arial" w:cs="Arial"/>
                <w:color w:val="0000FF"/>
                <w:sz w:val="20"/>
                <w:szCs w:val="20"/>
                <w:lang w:val="en-GB" w:eastAsia="en-GB"/>
              </w:rPr>
              <w:t>+19%</w:t>
            </w:r>
          </w:p>
        </w:tc>
        <w:tc>
          <w:tcPr>
            <w:tcW w:w="924" w:type="dxa"/>
            <w:tcBorders>
              <w:top w:val="single" w:sz="4" w:space="0" w:color="757171"/>
              <w:left w:val="nil"/>
              <w:bottom w:val="single" w:sz="4" w:space="0" w:color="FFFFFF"/>
              <w:right w:val="nil"/>
            </w:tcBorders>
            <w:shd w:val="clear" w:color="FFFFCC" w:fill="FFFFFF"/>
            <w:noWrap/>
            <w:vAlign w:val="bottom"/>
            <w:hideMark/>
          </w:tcPr>
          <w:p w14:paraId="2DA140D6" w14:textId="77777777" w:rsidR="00005B77" w:rsidRPr="00005B77" w:rsidRDefault="00005B77" w:rsidP="00005B77">
            <w:pPr>
              <w:spacing w:after="0" w:line="240" w:lineRule="auto"/>
              <w:jc w:val="center"/>
              <w:rPr>
                <w:rFonts w:ascii="Arial" w:eastAsia="Times New Roman" w:hAnsi="Arial" w:cs="Arial"/>
                <w:color w:val="000000"/>
                <w:sz w:val="20"/>
                <w:szCs w:val="20"/>
                <w:lang w:val="en-GB" w:eastAsia="en-GB"/>
              </w:rPr>
            </w:pPr>
            <w:r w:rsidRPr="00005B77">
              <w:rPr>
                <w:rFonts w:ascii="Arial" w:eastAsia="Times New Roman" w:hAnsi="Arial" w:cs="Arial"/>
                <w:color w:val="0000FF"/>
                <w:sz w:val="20"/>
                <w:szCs w:val="20"/>
                <w:lang w:val="en-GB" w:eastAsia="en-GB"/>
              </w:rPr>
              <w:t>+7</w:t>
            </w:r>
          </w:p>
        </w:tc>
        <w:tc>
          <w:tcPr>
            <w:tcW w:w="1956" w:type="dxa"/>
            <w:tcBorders>
              <w:top w:val="single" w:sz="4" w:space="0" w:color="757171"/>
              <w:left w:val="nil"/>
              <w:bottom w:val="single" w:sz="4" w:space="0" w:color="FFFFFF"/>
              <w:right w:val="single" w:sz="4" w:space="0" w:color="FFFFFF"/>
            </w:tcBorders>
            <w:shd w:val="clear" w:color="FFFFCC" w:fill="FFFFFF"/>
            <w:noWrap/>
            <w:vAlign w:val="bottom"/>
            <w:hideMark/>
          </w:tcPr>
          <w:p w14:paraId="1E4110FC" w14:textId="77777777" w:rsidR="00005B77" w:rsidRPr="00005B77" w:rsidRDefault="00005B77" w:rsidP="00005B77">
            <w:pPr>
              <w:spacing w:after="0" w:line="240" w:lineRule="auto"/>
              <w:jc w:val="center"/>
              <w:rPr>
                <w:rFonts w:ascii="Arial" w:eastAsia="Times New Roman" w:hAnsi="Arial" w:cs="Arial"/>
                <w:color w:val="000000"/>
                <w:sz w:val="20"/>
                <w:szCs w:val="20"/>
                <w:lang w:val="en-GB" w:eastAsia="en-GB"/>
              </w:rPr>
            </w:pPr>
            <w:r w:rsidRPr="00005B77">
              <w:rPr>
                <w:rFonts w:ascii="Arial" w:eastAsia="Times New Roman" w:hAnsi="Arial" w:cs="Arial"/>
                <w:color w:val="0000FF"/>
                <w:sz w:val="20"/>
                <w:szCs w:val="20"/>
                <w:lang w:val="en-GB" w:eastAsia="en-GB"/>
              </w:rPr>
              <w:t>+32%</w:t>
            </w:r>
          </w:p>
        </w:tc>
      </w:tr>
      <w:tr w:rsidR="00005B77" w:rsidRPr="00005B77" w14:paraId="282B87AA" w14:textId="77777777" w:rsidTr="00005B77">
        <w:trPr>
          <w:trHeight w:val="255"/>
        </w:trPr>
        <w:tc>
          <w:tcPr>
            <w:tcW w:w="940" w:type="dxa"/>
            <w:tcBorders>
              <w:top w:val="single" w:sz="4" w:space="0" w:color="8EA9DB"/>
              <w:left w:val="single" w:sz="4" w:space="0" w:color="8EA9DB"/>
              <w:bottom w:val="single" w:sz="4" w:space="0" w:color="8EA9DB"/>
              <w:right w:val="single" w:sz="4" w:space="0" w:color="FFFFFF"/>
            </w:tcBorders>
            <w:shd w:val="clear" w:color="FFFFCC" w:fill="C1FFC1"/>
            <w:noWrap/>
            <w:vAlign w:val="bottom"/>
            <w:hideMark/>
          </w:tcPr>
          <w:p w14:paraId="35B2EEAD" w14:textId="77777777" w:rsidR="00005B77" w:rsidRPr="00005B77" w:rsidRDefault="00005B77" w:rsidP="00005B77">
            <w:pPr>
              <w:spacing w:after="0" w:line="240" w:lineRule="auto"/>
              <w:jc w:val="center"/>
              <w:rPr>
                <w:rFonts w:ascii="Arial" w:eastAsia="Times New Roman" w:hAnsi="Arial" w:cs="Arial"/>
                <w:b/>
                <w:bCs/>
                <w:color w:val="375623"/>
                <w:sz w:val="20"/>
                <w:szCs w:val="20"/>
                <w:lang w:val="en-GB" w:eastAsia="en-GB"/>
              </w:rPr>
            </w:pPr>
            <w:r w:rsidRPr="00005B77">
              <w:rPr>
                <w:rFonts w:ascii="Arial" w:eastAsia="Times New Roman" w:hAnsi="Arial" w:cs="Arial"/>
                <w:b/>
                <w:bCs/>
                <w:color w:val="375623"/>
                <w:sz w:val="20"/>
                <w:szCs w:val="20"/>
                <w:lang w:val="en-GB" w:eastAsia="en-GB"/>
              </w:rPr>
              <w:t>B</w:t>
            </w:r>
          </w:p>
        </w:tc>
        <w:tc>
          <w:tcPr>
            <w:tcW w:w="1064" w:type="dxa"/>
            <w:tcBorders>
              <w:top w:val="nil"/>
              <w:left w:val="nil"/>
              <w:bottom w:val="single" w:sz="4" w:space="0" w:color="FFFFFF"/>
              <w:right w:val="single" w:sz="4" w:space="0" w:color="FFFFFF"/>
            </w:tcBorders>
            <w:shd w:val="clear" w:color="FFFFCC" w:fill="FFFFFF"/>
            <w:noWrap/>
            <w:vAlign w:val="bottom"/>
            <w:hideMark/>
          </w:tcPr>
          <w:p w14:paraId="2C7B4588" w14:textId="77777777" w:rsidR="00005B77" w:rsidRPr="00005B77" w:rsidRDefault="00005B77" w:rsidP="00005B77">
            <w:pPr>
              <w:spacing w:after="0" w:line="240" w:lineRule="auto"/>
              <w:jc w:val="center"/>
              <w:rPr>
                <w:rFonts w:ascii="Arial" w:eastAsia="Times New Roman" w:hAnsi="Arial" w:cs="Arial"/>
                <w:color w:val="000000"/>
                <w:sz w:val="20"/>
                <w:szCs w:val="20"/>
                <w:lang w:val="en-GB" w:eastAsia="en-GB"/>
              </w:rPr>
            </w:pPr>
            <w:r w:rsidRPr="00005B77">
              <w:rPr>
                <w:rFonts w:ascii="Arial" w:eastAsia="Times New Roman" w:hAnsi="Arial" w:cs="Arial"/>
                <w:color w:val="FF0000"/>
                <w:sz w:val="20"/>
                <w:szCs w:val="20"/>
                <w:lang w:val="en-GB" w:eastAsia="en-GB"/>
              </w:rPr>
              <w:t>-49</w:t>
            </w:r>
          </w:p>
        </w:tc>
        <w:tc>
          <w:tcPr>
            <w:tcW w:w="1576" w:type="dxa"/>
            <w:tcBorders>
              <w:top w:val="nil"/>
              <w:left w:val="nil"/>
              <w:bottom w:val="single" w:sz="4" w:space="0" w:color="FFFFFF"/>
              <w:right w:val="single" w:sz="4" w:space="0" w:color="FFFFFF"/>
            </w:tcBorders>
            <w:shd w:val="clear" w:color="FFFFCC" w:fill="FFFFFF"/>
            <w:noWrap/>
            <w:vAlign w:val="bottom"/>
            <w:hideMark/>
          </w:tcPr>
          <w:p w14:paraId="10272E5A" w14:textId="77777777" w:rsidR="00005B77" w:rsidRPr="00005B77" w:rsidRDefault="00005B77" w:rsidP="00005B77">
            <w:pPr>
              <w:spacing w:after="0" w:line="240" w:lineRule="auto"/>
              <w:jc w:val="center"/>
              <w:rPr>
                <w:rFonts w:ascii="Arial" w:eastAsia="Times New Roman" w:hAnsi="Arial" w:cs="Arial"/>
                <w:color w:val="000000"/>
                <w:sz w:val="20"/>
                <w:szCs w:val="20"/>
                <w:lang w:val="en-GB" w:eastAsia="en-GB"/>
              </w:rPr>
            </w:pPr>
            <w:r w:rsidRPr="00005B77">
              <w:rPr>
                <w:rFonts w:ascii="Arial" w:eastAsia="Times New Roman" w:hAnsi="Arial" w:cs="Arial"/>
                <w:color w:val="FF0000"/>
                <w:sz w:val="20"/>
                <w:szCs w:val="20"/>
                <w:lang w:val="en-GB" w:eastAsia="en-GB"/>
              </w:rPr>
              <w:t>-16%</w:t>
            </w:r>
          </w:p>
        </w:tc>
        <w:tc>
          <w:tcPr>
            <w:tcW w:w="924" w:type="dxa"/>
            <w:tcBorders>
              <w:top w:val="nil"/>
              <w:left w:val="nil"/>
              <w:bottom w:val="single" w:sz="4" w:space="0" w:color="FFFFFF"/>
              <w:right w:val="single" w:sz="4" w:space="0" w:color="FFFFFF"/>
            </w:tcBorders>
            <w:shd w:val="clear" w:color="FFFFCC" w:fill="FFFFFF"/>
            <w:noWrap/>
            <w:vAlign w:val="bottom"/>
            <w:hideMark/>
          </w:tcPr>
          <w:p w14:paraId="4A29F229" w14:textId="77777777" w:rsidR="00005B77" w:rsidRPr="00005B77" w:rsidRDefault="00005B77" w:rsidP="00005B77">
            <w:pPr>
              <w:spacing w:after="0" w:line="240" w:lineRule="auto"/>
              <w:jc w:val="center"/>
              <w:rPr>
                <w:rFonts w:ascii="Arial" w:eastAsia="Times New Roman" w:hAnsi="Arial" w:cs="Arial"/>
                <w:color w:val="000000"/>
                <w:sz w:val="20"/>
                <w:szCs w:val="20"/>
                <w:lang w:val="en-GB" w:eastAsia="en-GB"/>
              </w:rPr>
            </w:pPr>
            <w:r w:rsidRPr="00005B77">
              <w:rPr>
                <w:rFonts w:ascii="Arial" w:eastAsia="Times New Roman" w:hAnsi="Arial" w:cs="Arial"/>
                <w:color w:val="FF0000"/>
                <w:sz w:val="20"/>
                <w:szCs w:val="20"/>
                <w:lang w:val="en-GB" w:eastAsia="en-GB"/>
              </w:rPr>
              <w:t>-5</w:t>
            </w:r>
          </w:p>
        </w:tc>
        <w:tc>
          <w:tcPr>
            <w:tcW w:w="1956" w:type="dxa"/>
            <w:tcBorders>
              <w:top w:val="nil"/>
              <w:left w:val="nil"/>
              <w:bottom w:val="single" w:sz="4" w:space="0" w:color="FFFFFF"/>
              <w:right w:val="single" w:sz="4" w:space="0" w:color="FFFFFF"/>
            </w:tcBorders>
            <w:shd w:val="clear" w:color="FFFFCC" w:fill="FFFFFF"/>
            <w:noWrap/>
            <w:vAlign w:val="bottom"/>
            <w:hideMark/>
          </w:tcPr>
          <w:p w14:paraId="463BE2F7" w14:textId="77777777" w:rsidR="00005B77" w:rsidRPr="00005B77" w:rsidRDefault="00005B77" w:rsidP="00005B77">
            <w:pPr>
              <w:spacing w:after="0" w:line="240" w:lineRule="auto"/>
              <w:jc w:val="center"/>
              <w:rPr>
                <w:rFonts w:ascii="Arial" w:eastAsia="Times New Roman" w:hAnsi="Arial" w:cs="Arial"/>
                <w:color w:val="000000"/>
                <w:sz w:val="20"/>
                <w:szCs w:val="20"/>
                <w:lang w:val="en-GB" w:eastAsia="en-GB"/>
              </w:rPr>
            </w:pPr>
            <w:r w:rsidRPr="00005B77">
              <w:rPr>
                <w:rFonts w:ascii="Arial" w:eastAsia="Times New Roman" w:hAnsi="Arial" w:cs="Arial"/>
                <w:color w:val="FF0000"/>
                <w:sz w:val="20"/>
                <w:szCs w:val="20"/>
                <w:lang w:val="en-GB" w:eastAsia="en-GB"/>
              </w:rPr>
              <w:t>-16%</w:t>
            </w:r>
          </w:p>
        </w:tc>
        <w:tc>
          <w:tcPr>
            <w:tcW w:w="924" w:type="dxa"/>
            <w:tcBorders>
              <w:top w:val="nil"/>
              <w:left w:val="nil"/>
              <w:bottom w:val="single" w:sz="4" w:space="0" w:color="FFFFFF"/>
              <w:right w:val="nil"/>
            </w:tcBorders>
            <w:shd w:val="clear" w:color="FFFFCC" w:fill="FFFFFF"/>
            <w:noWrap/>
            <w:vAlign w:val="bottom"/>
            <w:hideMark/>
          </w:tcPr>
          <w:p w14:paraId="027EEFEE" w14:textId="77777777" w:rsidR="00005B77" w:rsidRPr="00005B77" w:rsidRDefault="00005B77" w:rsidP="00005B77">
            <w:pPr>
              <w:spacing w:after="0" w:line="240" w:lineRule="auto"/>
              <w:jc w:val="center"/>
              <w:rPr>
                <w:rFonts w:ascii="Arial" w:eastAsia="Times New Roman" w:hAnsi="Arial" w:cs="Arial"/>
                <w:color w:val="000000"/>
                <w:sz w:val="20"/>
                <w:szCs w:val="20"/>
                <w:lang w:val="en-GB" w:eastAsia="en-GB"/>
              </w:rPr>
            </w:pPr>
            <w:r w:rsidRPr="00005B77">
              <w:rPr>
                <w:rFonts w:ascii="Arial" w:eastAsia="Times New Roman" w:hAnsi="Arial" w:cs="Arial"/>
                <w:color w:val="0000FF"/>
                <w:sz w:val="20"/>
                <w:szCs w:val="20"/>
                <w:lang w:val="en-GB" w:eastAsia="en-GB"/>
              </w:rPr>
              <w:t>+2</w:t>
            </w:r>
          </w:p>
        </w:tc>
        <w:tc>
          <w:tcPr>
            <w:tcW w:w="1956" w:type="dxa"/>
            <w:tcBorders>
              <w:top w:val="nil"/>
              <w:left w:val="nil"/>
              <w:bottom w:val="single" w:sz="4" w:space="0" w:color="FFFFFF"/>
              <w:right w:val="single" w:sz="4" w:space="0" w:color="FFFFFF"/>
            </w:tcBorders>
            <w:shd w:val="clear" w:color="FFFFCC" w:fill="FFFFFF"/>
            <w:noWrap/>
            <w:vAlign w:val="bottom"/>
            <w:hideMark/>
          </w:tcPr>
          <w:p w14:paraId="5AC73AE7" w14:textId="77777777" w:rsidR="00005B77" w:rsidRPr="00005B77" w:rsidRDefault="00005B77" w:rsidP="00005B77">
            <w:pPr>
              <w:spacing w:after="0" w:line="240" w:lineRule="auto"/>
              <w:jc w:val="center"/>
              <w:rPr>
                <w:rFonts w:ascii="Arial" w:eastAsia="Times New Roman" w:hAnsi="Arial" w:cs="Arial"/>
                <w:color w:val="000000"/>
                <w:sz w:val="20"/>
                <w:szCs w:val="20"/>
                <w:lang w:val="en-GB" w:eastAsia="en-GB"/>
              </w:rPr>
            </w:pPr>
            <w:r w:rsidRPr="00005B77">
              <w:rPr>
                <w:rFonts w:ascii="Arial" w:eastAsia="Times New Roman" w:hAnsi="Arial" w:cs="Arial"/>
                <w:color w:val="0000FF"/>
                <w:sz w:val="20"/>
                <w:szCs w:val="20"/>
                <w:lang w:val="en-GB" w:eastAsia="en-GB"/>
              </w:rPr>
              <w:t>+9%</w:t>
            </w:r>
          </w:p>
        </w:tc>
      </w:tr>
      <w:tr w:rsidR="00005B77" w:rsidRPr="00005B77" w14:paraId="18069E53" w14:textId="77777777" w:rsidTr="00005B77">
        <w:trPr>
          <w:trHeight w:val="255"/>
        </w:trPr>
        <w:tc>
          <w:tcPr>
            <w:tcW w:w="940" w:type="dxa"/>
            <w:tcBorders>
              <w:top w:val="single" w:sz="4" w:space="0" w:color="8EA9DB"/>
              <w:left w:val="single" w:sz="4" w:space="0" w:color="8EA9DB"/>
              <w:bottom w:val="single" w:sz="4" w:space="0" w:color="8EA9DB"/>
              <w:right w:val="single" w:sz="4" w:space="0" w:color="FFFFFF"/>
            </w:tcBorders>
            <w:shd w:val="clear" w:color="FFFFCC" w:fill="FFFF66"/>
            <w:noWrap/>
            <w:vAlign w:val="bottom"/>
            <w:hideMark/>
          </w:tcPr>
          <w:p w14:paraId="290043C6" w14:textId="77777777" w:rsidR="00005B77" w:rsidRPr="00005B77" w:rsidRDefault="00005B77" w:rsidP="00005B77">
            <w:pPr>
              <w:spacing w:after="0" w:line="240" w:lineRule="auto"/>
              <w:jc w:val="center"/>
              <w:rPr>
                <w:rFonts w:ascii="Arial" w:eastAsia="Times New Roman" w:hAnsi="Arial" w:cs="Arial"/>
                <w:b/>
                <w:bCs/>
                <w:color w:val="806000"/>
                <w:sz w:val="20"/>
                <w:szCs w:val="20"/>
                <w:lang w:val="en-GB" w:eastAsia="en-GB"/>
              </w:rPr>
            </w:pPr>
            <w:r w:rsidRPr="00005B77">
              <w:rPr>
                <w:rFonts w:ascii="Arial" w:eastAsia="Times New Roman" w:hAnsi="Arial" w:cs="Arial"/>
                <w:b/>
                <w:bCs/>
                <w:color w:val="806000"/>
                <w:sz w:val="20"/>
                <w:szCs w:val="20"/>
                <w:lang w:val="en-GB" w:eastAsia="en-GB"/>
              </w:rPr>
              <w:t>C</w:t>
            </w:r>
          </w:p>
        </w:tc>
        <w:tc>
          <w:tcPr>
            <w:tcW w:w="1064" w:type="dxa"/>
            <w:tcBorders>
              <w:top w:val="nil"/>
              <w:left w:val="nil"/>
              <w:bottom w:val="single" w:sz="4" w:space="0" w:color="FFFFFF"/>
              <w:right w:val="single" w:sz="4" w:space="0" w:color="FFFFFF"/>
            </w:tcBorders>
            <w:shd w:val="clear" w:color="FFFFCC" w:fill="FFFFFF"/>
            <w:noWrap/>
            <w:vAlign w:val="bottom"/>
            <w:hideMark/>
          </w:tcPr>
          <w:p w14:paraId="0A34D38E" w14:textId="6683118C" w:rsidR="00005B77" w:rsidRPr="00005B77" w:rsidRDefault="00005B77" w:rsidP="00005B77">
            <w:pPr>
              <w:spacing w:after="0" w:line="240" w:lineRule="auto"/>
              <w:jc w:val="center"/>
              <w:rPr>
                <w:rFonts w:ascii="Arial" w:eastAsia="Times New Roman" w:hAnsi="Arial" w:cs="Arial"/>
                <w:color w:val="000000"/>
                <w:sz w:val="20"/>
                <w:szCs w:val="20"/>
                <w:lang w:val="en-GB" w:eastAsia="en-GB"/>
              </w:rPr>
            </w:pPr>
            <w:r w:rsidRPr="00005B77">
              <w:rPr>
                <w:rFonts w:ascii="Arial" w:eastAsia="Times New Roman" w:hAnsi="Arial" w:cs="Arial"/>
                <w:color w:val="0000FF"/>
                <w:sz w:val="20"/>
                <w:szCs w:val="20"/>
                <w:lang w:val="en-GB" w:eastAsia="en-GB"/>
              </w:rPr>
              <w:t>+</w:t>
            </w:r>
            <w:r w:rsidR="00A25B62">
              <w:rPr>
                <w:rFonts w:ascii="Arial" w:eastAsia="Times New Roman" w:hAnsi="Arial" w:cs="Arial"/>
                <w:color w:val="0000FF"/>
                <w:sz w:val="20"/>
                <w:szCs w:val="20"/>
                <w:lang w:val="en-GB" w:eastAsia="en-GB"/>
              </w:rPr>
              <w:t>19</w:t>
            </w:r>
          </w:p>
        </w:tc>
        <w:tc>
          <w:tcPr>
            <w:tcW w:w="1576" w:type="dxa"/>
            <w:tcBorders>
              <w:top w:val="nil"/>
              <w:left w:val="nil"/>
              <w:bottom w:val="single" w:sz="4" w:space="0" w:color="FFFFFF"/>
              <w:right w:val="single" w:sz="4" w:space="0" w:color="FFFFFF"/>
            </w:tcBorders>
            <w:shd w:val="clear" w:color="FFFFCC" w:fill="FFFFFF"/>
            <w:noWrap/>
            <w:vAlign w:val="bottom"/>
            <w:hideMark/>
          </w:tcPr>
          <w:p w14:paraId="27A4B326" w14:textId="27E2542B" w:rsidR="00005B77" w:rsidRPr="00005B77" w:rsidRDefault="00005B77" w:rsidP="00005B77">
            <w:pPr>
              <w:spacing w:after="0" w:line="240" w:lineRule="auto"/>
              <w:jc w:val="center"/>
              <w:rPr>
                <w:rFonts w:ascii="Arial" w:eastAsia="Times New Roman" w:hAnsi="Arial" w:cs="Arial"/>
                <w:color w:val="000000"/>
                <w:sz w:val="20"/>
                <w:szCs w:val="20"/>
                <w:lang w:val="en-GB" w:eastAsia="en-GB"/>
              </w:rPr>
            </w:pPr>
            <w:r w:rsidRPr="00005B77">
              <w:rPr>
                <w:rFonts w:ascii="Arial" w:eastAsia="Times New Roman" w:hAnsi="Arial" w:cs="Arial"/>
                <w:color w:val="0000FF"/>
                <w:sz w:val="20"/>
                <w:szCs w:val="20"/>
                <w:lang w:val="en-GB" w:eastAsia="en-GB"/>
              </w:rPr>
              <w:t>+</w:t>
            </w:r>
            <w:r w:rsidR="00A25B62">
              <w:rPr>
                <w:rFonts w:ascii="Arial" w:eastAsia="Times New Roman" w:hAnsi="Arial" w:cs="Arial"/>
                <w:color w:val="0000FF"/>
                <w:sz w:val="20"/>
                <w:szCs w:val="20"/>
                <w:lang w:val="en-GB" w:eastAsia="en-GB"/>
              </w:rPr>
              <w:t>7</w:t>
            </w:r>
            <w:r w:rsidRPr="00005B77">
              <w:rPr>
                <w:rFonts w:ascii="Arial" w:eastAsia="Times New Roman" w:hAnsi="Arial" w:cs="Arial"/>
                <w:color w:val="0000FF"/>
                <w:sz w:val="20"/>
                <w:szCs w:val="20"/>
                <w:lang w:val="en-GB" w:eastAsia="en-GB"/>
              </w:rPr>
              <w:t>%</w:t>
            </w:r>
          </w:p>
        </w:tc>
        <w:tc>
          <w:tcPr>
            <w:tcW w:w="924" w:type="dxa"/>
            <w:tcBorders>
              <w:top w:val="nil"/>
              <w:left w:val="nil"/>
              <w:bottom w:val="single" w:sz="4" w:space="0" w:color="FFFFFF"/>
              <w:right w:val="single" w:sz="4" w:space="0" w:color="FFFFFF"/>
            </w:tcBorders>
            <w:shd w:val="clear" w:color="FFFFCC" w:fill="FFFFFF"/>
            <w:noWrap/>
            <w:vAlign w:val="bottom"/>
            <w:hideMark/>
          </w:tcPr>
          <w:p w14:paraId="747973FF" w14:textId="77777777" w:rsidR="00005B77" w:rsidRPr="00005B77" w:rsidRDefault="00005B77" w:rsidP="00005B77">
            <w:pPr>
              <w:spacing w:after="0" w:line="240" w:lineRule="auto"/>
              <w:jc w:val="center"/>
              <w:rPr>
                <w:rFonts w:ascii="Arial" w:eastAsia="Times New Roman" w:hAnsi="Arial" w:cs="Arial"/>
                <w:color w:val="000000"/>
                <w:sz w:val="20"/>
                <w:szCs w:val="20"/>
                <w:lang w:val="en-GB" w:eastAsia="en-GB"/>
              </w:rPr>
            </w:pPr>
            <w:r w:rsidRPr="00005B77">
              <w:rPr>
                <w:rFonts w:ascii="Arial" w:eastAsia="Times New Roman" w:hAnsi="Arial" w:cs="Arial"/>
                <w:color w:val="0000FF"/>
                <w:sz w:val="20"/>
                <w:szCs w:val="20"/>
                <w:lang w:val="en-GB" w:eastAsia="en-GB"/>
              </w:rPr>
              <w:t>+2</w:t>
            </w:r>
          </w:p>
        </w:tc>
        <w:tc>
          <w:tcPr>
            <w:tcW w:w="1956" w:type="dxa"/>
            <w:tcBorders>
              <w:top w:val="nil"/>
              <w:left w:val="nil"/>
              <w:bottom w:val="single" w:sz="4" w:space="0" w:color="FFFFFF"/>
              <w:right w:val="single" w:sz="4" w:space="0" w:color="FFFFFF"/>
            </w:tcBorders>
            <w:shd w:val="clear" w:color="FFFFCC" w:fill="FFFFFF"/>
            <w:noWrap/>
            <w:vAlign w:val="bottom"/>
            <w:hideMark/>
          </w:tcPr>
          <w:p w14:paraId="7263EA81" w14:textId="77777777" w:rsidR="00005B77" w:rsidRPr="00005B77" w:rsidRDefault="00005B77" w:rsidP="00005B77">
            <w:pPr>
              <w:spacing w:after="0" w:line="240" w:lineRule="auto"/>
              <w:jc w:val="center"/>
              <w:rPr>
                <w:rFonts w:ascii="Arial" w:eastAsia="Times New Roman" w:hAnsi="Arial" w:cs="Arial"/>
                <w:color w:val="000000"/>
                <w:sz w:val="20"/>
                <w:szCs w:val="20"/>
                <w:lang w:val="en-GB" w:eastAsia="en-GB"/>
              </w:rPr>
            </w:pPr>
            <w:r w:rsidRPr="00005B77">
              <w:rPr>
                <w:rFonts w:ascii="Arial" w:eastAsia="Times New Roman" w:hAnsi="Arial" w:cs="Arial"/>
                <w:color w:val="0000FF"/>
                <w:sz w:val="20"/>
                <w:szCs w:val="20"/>
                <w:lang w:val="en-GB" w:eastAsia="en-GB"/>
              </w:rPr>
              <w:t>+6%</w:t>
            </w:r>
          </w:p>
        </w:tc>
        <w:tc>
          <w:tcPr>
            <w:tcW w:w="924" w:type="dxa"/>
            <w:tcBorders>
              <w:top w:val="nil"/>
              <w:left w:val="nil"/>
              <w:bottom w:val="single" w:sz="4" w:space="0" w:color="FFFFFF"/>
              <w:right w:val="nil"/>
            </w:tcBorders>
            <w:shd w:val="clear" w:color="FFFFCC" w:fill="FFFFFF"/>
            <w:noWrap/>
            <w:vAlign w:val="bottom"/>
            <w:hideMark/>
          </w:tcPr>
          <w:p w14:paraId="7E285437" w14:textId="77777777" w:rsidR="00005B77" w:rsidRPr="00005B77" w:rsidRDefault="00005B77" w:rsidP="00005B77">
            <w:pPr>
              <w:spacing w:after="0" w:line="240" w:lineRule="auto"/>
              <w:jc w:val="center"/>
              <w:rPr>
                <w:rFonts w:ascii="Arial" w:eastAsia="Times New Roman" w:hAnsi="Arial" w:cs="Arial"/>
                <w:color w:val="000000"/>
                <w:sz w:val="20"/>
                <w:szCs w:val="20"/>
                <w:lang w:val="en-GB" w:eastAsia="en-GB"/>
              </w:rPr>
            </w:pPr>
            <w:r w:rsidRPr="00005B77">
              <w:rPr>
                <w:rFonts w:ascii="Arial" w:eastAsia="Times New Roman" w:hAnsi="Arial" w:cs="Arial"/>
                <w:color w:val="000000"/>
                <w:sz w:val="20"/>
                <w:szCs w:val="20"/>
                <w:lang w:val="en-GB" w:eastAsia="en-GB"/>
              </w:rPr>
              <w:t>0</w:t>
            </w:r>
          </w:p>
        </w:tc>
        <w:tc>
          <w:tcPr>
            <w:tcW w:w="1956" w:type="dxa"/>
            <w:tcBorders>
              <w:top w:val="nil"/>
              <w:left w:val="nil"/>
              <w:bottom w:val="single" w:sz="4" w:space="0" w:color="FFFFFF"/>
              <w:right w:val="single" w:sz="4" w:space="0" w:color="FFFFFF"/>
            </w:tcBorders>
            <w:shd w:val="clear" w:color="FFFFCC" w:fill="FFFFFF"/>
            <w:noWrap/>
            <w:vAlign w:val="bottom"/>
            <w:hideMark/>
          </w:tcPr>
          <w:p w14:paraId="6C33BDD6" w14:textId="77777777" w:rsidR="00005B77" w:rsidRPr="00005B77" w:rsidRDefault="00005B77" w:rsidP="00005B77">
            <w:pPr>
              <w:spacing w:after="0" w:line="240" w:lineRule="auto"/>
              <w:jc w:val="center"/>
              <w:rPr>
                <w:rFonts w:ascii="Arial" w:eastAsia="Times New Roman" w:hAnsi="Arial" w:cs="Arial"/>
                <w:color w:val="000000"/>
                <w:sz w:val="20"/>
                <w:szCs w:val="20"/>
                <w:lang w:val="en-GB" w:eastAsia="en-GB"/>
              </w:rPr>
            </w:pPr>
            <w:r w:rsidRPr="00005B77">
              <w:rPr>
                <w:rFonts w:ascii="Arial" w:eastAsia="Times New Roman" w:hAnsi="Arial" w:cs="Arial"/>
                <w:color w:val="000000"/>
                <w:sz w:val="20"/>
                <w:szCs w:val="20"/>
                <w:lang w:val="en-GB" w:eastAsia="en-GB"/>
              </w:rPr>
              <w:t>0%</w:t>
            </w:r>
          </w:p>
        </w:tc>
      </w:tr>
      <w:tr w:rsidR="00005B77" w:rsidRPr="00005B77" w14:paraId="0DD31D4F" w14:textId="77777777" w:rsidTr="00005B77">
        <w:trPr>
          <w:trHeight w:val="255"/>
        </w:trPr>
        <w:tc>
          <w:tcPr>
            <w:tcW w:w="940" w:type="dxa"/>
            <w:tcBorders>
              <w:top w:val="single" w:sz="4" w:space="0" w:color="8EA9DB"/>
              <w:left w:val="single" w:sz="4" w:space="0" w:color="8EA9DB"/>
              <w:bottom w:val="single" w:sz="4" w:space="0" w:color="8EA9DB"/>
              <w:right w:val="single" w:sz="4" w:space="0" w:color="FFFFFF"/>
            </w:tcBorders>
            <w:shd w:val="clear" w:color="FFFFCC" w:fill="FFC267"/>
            <w:noWrap/>
            <w:vAlign w:val="bottom"/>
            <w:hideMark/>
          </w:tcPr>
          <w:p w14:paraId="50F49910" w14:textId="77777777" w:rsidR="00005B77" w:rsidRPr="00005B77" w:rsidRDefault="00005B77" w:rsidP="00005B77">
            <w:pPr>
              <w:spacing w:after="0" w:line="240" w:lineRule="auto"/>
              <w:jc w:val="center"/>
              <w:rPr>
                <w:rFonts w:ascii="Arial" w:eastAsia="Times New Roman" w:hAnsi="Arial" w:cs="Arial"/>
                <w:b/>
                <w:bCs/>
                <w:color w:val="833C0C"/>
                <w:sz w:val="20"/>
                <w:szCs w:val="20"/>
                <w:lang w:val="en-GB" w:eastAsia="en-GB"/>
              </w:rPr>
            </w:pPr>
            <w:r w:rsidRPr="00005B77">
              <w:rPr>
                <w:rFonts w:ascii="Arial" w:eastAsia="Times New Roman" w:hAnsi="Arial" w:cs="Arial"/>
                <w:b/>
                <w:bCs/>
                <w:color w:val="833C0C"/>
                <w:sz w:val="20"/>
                <w:szCs w:val="20"/>
                <w:lang w:val="en-GB" w:eastAsia="en-GB"/>
              </w:rPr>
              <w:t>D</w:t>
            </w:r>
          </w:p>
        </w:tc>
        <w:tc>
          <w:tcPr>
            <w:tcW w:w="1064" w:type="dxa"/>
            <w:tcBorders>
              <w:top w:val="nil"/>
              <w:left w:val="nil"/>
              <w:bottom w:val="single" w:sz="4" w:space="0" w:color="FFFFFF"/>
              <w:right w:val="single" w:sz="4" w:space="0" w:color="FFFFFF"/>
            </w:tcBorders>
            <w:shd w:val="clear" w:color="FFFFCC" w:fill="FFFFFF"/>
            <w:noWrap/>
            <w:vAlign w:val="bottom"/>
            <w:hideMark/>
          </w:tcPr>
          <w:p w14:paraId="52A0DC85" w14:textId="77777777" w:rsidR="00005B77" w:rsidRPr="00005B77" w:rsidRDefault="00005B77" w:rsidP="00005B77">
            <w:pPr>
              <w:spacing w:after="0" w:line="240" w:lineRule="auto"/>
              <w:jc w:val="center"/>
              <w:rPr>
                <w:rFonts w:ascii="Arial" w:eastAsia="Times New Roman" w:hAnsi="Arial" w:cs="Arial"/>
                <w:color w:val="000000"/>
                <w:sz w:val="20"/>
                <w:szCs w:val="20"/>
                <w:lang w:val="en-GB" w:eastAsia="en-GB"/>
              </w:rPr>
            </w:pPr>
            <w:r w:rsidRPr="00005B77">
              <w:rPr>
                <w:rFonts w:ascii="Arial" w:eastAsia="Times New Roman" w:hAnsi="Arial" w:cs="Arial"/>
                <w:color w:val="FF0000"/>
                <w:sz w:val="20"/>
                <w:szCs w:val="20"/>
                <w:lang w:val="en-GB" w:eastAsia="en-GB"/>
              </w:rPr>
              <w:t>-12</w:t>
            </w:r>
          </w:p>
        </w:tc>
        <w:tc>
          <w:tcPr>
            <w:tcW w:w="1576" w:type="dxa"/>
            <w:tcBorders>
              <w:top w:val="nil"/>
              <w:left w:val="nil"/>
              <w:bottom w:val="single" w:sz="4" w:space="0" w:color="FFFFFF"/>
              <w:right w:val="single" w:sz="4" w:space="0" w:color="FFFFFF"/>
            </w:tcBorders>
            <w:shd w:val="clear" w:color="FFFFCC" w:fill="FFFFFF"/>
            <w:noWrap/>
            <w:vAlign w:val="bottom"/>
            <w:hideMark/>
          </w:tcPr>
          <w:p w14:paraId="0038AEC4" w14:textId="77777777" w:rsidR="00005B77" w:rsidRPr="00005B77" w:rsidRDefault="00005B77" w:rsidP="00005B77">
            <w:pPr>
              <w:spacing w:after="0" w:line="240" w:lineRule="auto"/>
              <w:jc w:val="center"/>
              <w:rPr>
                <w:rFonts w:ascii="Arial" w:eastAsia="Times New Roman" w:hAnsi="Arial" w:cs="Arial"/>
                <w:color w:val="000000"/>
                <w:sz w:val="20"/>
                <w:szCs w:val="20"/>
                <w:lang w:val="en-GB" w:eastAsia="en-GB"/>
              </w:rPr>
            </w:pPr>
            <w:r w:rsidRPr="00005B77">
              <w:rPr>
                <w:rFonts w:ascii="Arial" w:eastAsia="Times New Roman" w:hAnsi="Arial" w:cs="Arial"/>
                <w:color w:val="FF0000"/>
                <w:sz w:val="20"/>
                <w:szCs w:val="20"/>
                <w:lang w:val="en-GB" w:eastAsia="en-GB"/>
              </w:rPr>
              <w:t>-4%</w:t>
            </w:r>
          </w:p>
        </w:tc>
        <w:tc>
          <w:tcPr>
            <w:tcW w:w="924" w:type="dxa"/>
            <w:tcBorders>
              <w:top w:val="nil"/>
              <w:left w:val="nil"/>
              <w:bottom w:val="single" w:sz="4" w:space="0" w:color="FFFFFF"/>
              <w:right w:val="single" w:sz="4" w:space="0" w:color="FFFFFF"/>
            </w:tcBorders>
            <w:shd w:val="clear" w:color="FFFFCC" w:fill="FFFFFF"/>
            <w:noWrap/>
            <w:vAlign w:val="bottom"/>
            <w:hideMark/>
          </w:tcPr>
          <w:p w14:paraId="19953D84" w14:textId="77777777" w:rsidR="00005B77" w:rsidRPr="00005B77" w:rsidRDefault="00005B77" w:rsidP="00005B77">
            <w:pPr>
              <w:spacing w:after="0" w:line="240" w:lineRule="auto"/>
              <w:jc w:val="center"/>
              <w:rPr>
                <w:rFonts w:ascii="Arial" w:eastAsia="Times New Roman" w:hAnsi="Arial" w:cs="Arial"/>
                <w:color w:val="000000"/>
                <w:sz w:val="20"/>
                <w:szCs w:val="20"/>
                <w:lang w:val="en-GB" w:eastAsia="en-GB"/>
              </w:rPr>
            </w:pPr>
            <w:r w:rsidRPr="00005B77">
              <w:rPr>
                <w:rFonts w:ascii="Arial" w:eastAsia="Times New Roman" w:hAnsi="Arial" w:cs="Arial"/>
                <w:color w:val="0000FF"/>
                <w:sz w:val="20"/>
                <w:szCs w:val="20"/>
                <w:lang w:val="en-GB" w:eastAsia="en-GB"/>
              </w:rPr>
              <w:t>+2</w:t>
            </w:r>
          </w:p>
        </w:tc>
        <w:tc>
          <w:tcPr>
            <w:tcW w:w="1956" w:type="dxa"/>
            <w:tcBorders>
              <w:top w:val="nil"/>
              <w:left w:val="nil"/>
              <w:bottom w:val="single" w:sz="4" w:space="0" w:color="FFFFFF"/>
              <w:right w:val="single" w:sz="4" w:space="0" w:color="FFFFFF"/>
            </w:tcBorders>
            <w:shd w:val="clear" w:color="FFFFCC" w:fill="FFFFFF"/>
            <w:noWrap/>
            <w:vAlign w:val="bottom"/>
            <w:hideMark/>
          </w:tcPr>
          <w:p w14:paraId="0D65C028" w14:textId="77777777" w:rsidR="00005B77" w:rsidRPr="00005B77" w:rsidRDefault="00005B77" w:rsidP="00005B77">
            <w:pPr>
              <w:spacing w:after="0" w:line="240" w:lineRule="auto"/>
              <w:jc w:val="center"/>
              <w:rPr>
                <w:rFonts w:ascii="Arial" w:eastAsia="Times New Roman" w:hAnsi="Arial" w:cs="Arial"/>
                <w:color w:val="000000"/>
                <w:sz w:val="20"/>
                <w:szCs w:val="20"/>
                <w:lang w:val="en-GB" w:eastAsia="en-GB"/>
              </w:rPr>
            </w:pPr>
            <w:r w:rsidRPr="00005B77">
              <w:rPr>
                <w:rFonts w:ascii="Arial" w:eastAsia="Times New Roman" w:hAnsi="Arial" w:cs="Arial"/>
                <w:color w:val="0000FF"/>
                <w:sz w:val="20"/>
                <w:szCs w:val="20"/>
                <w:lang w:val="en-GB" w:eastAsia="en-GB"/>
              </w:rPr>
              <w:t>+6%</w:t>
            </w:r>
          </w:p>
        </w:tc>
        <w:tc>
          <w:tcPr>
            <w:tcW w:w="924" w:type="dxa"/>
            <w:tcBorders>
              <w:top w:val="nil"/>
              <w:left w:val="nil"/>
              <w:bottom w:val="single" w:sz="4" w:space="0" w:color="FFFFFF"/>
              <w:right w:val="nil"/>
            </w:tcBorders>
            <w:shd w:val="clear" w:color="FFFFCC" w:fill="FFFFFF"/>
            <w:noWrap/>
            <w:vAlign w:val="bottom"/>
            <w:hideMark/>
          </w:tcPr>
          <w:p w14:paraId="13898027" w14:textId="77777777" w:rsidR="00005B77" w:rsidRPr="00005B77" w:rsidRDefault="00005B77" w:rsidP="00005B77">
            <w:pPr>
              <w:spacing w:after="0" w:line="240" w:lineRule="auto"/>
              <w:jc w:val="center"/>
              <w:rPr>
                <w:rFonts w:ascii="Arial" w:eastAsia="Times New Roman" w:hAnsi="Arial" w:cs="Arial"/>
                <w:color w:val="000000"/>
                <w:sz w:val="20"/>
                <w:szCs w:val="20"/>
                <w:lang w:val="en-GB" w:eastAsia="en-GB"/>
              </w:rPr>
            </w:pPr>
            <w:r w:rsidRPr="00005B77">
              <w:rPr>
                <w:rFonts w:ascii="Arial" w:eastAsia="Times New Roman" w:hAnsi="Arial" w:cs="Arial"/>
                <w:color w:val="FF0000"/>
                <w:sz w:val="20"/>
                <w:szCs w:val="20"/>
                <w:lang w:val="en-GB" w:eastAsia="en-GB"/>
              </w:rPr>
              <w:t>-4</w:t>
            </w:r>
          </w:p>
        </w:tc>
        <w:tc>
          <w:tcPr>
            <w:tcW w:w="1956" w:type="dxa"/>
            <w:tcBorders>
              <w:top w:val="nil"/>
              <w:left w:val="nil"/>
              <w:bottom w:val="single" w:sz="4" w:space="0" w:color="FFFFFF"/>
              <w:right w:val="single" w:sz="4" w:space="0" w:color="FFFFFF"/>
            </w:tcBorders>
            <w:shd w:val="clear" w:color="FFFFCC" w:fill="FFFFFF"/>
            <w:noWrap/>
            <w:vAlign w:val="bottom"/>
            <w:hideMark/>
          </w:tcPr>
          <w:p w14:paraId="1D0617FE" w14:textId="77777777" w:rsidR="00005B77" w:rsidRPr="00005B77" w:rsidRDefault="00005B77" w:rsidP="00005B77">
            <w:pPr>
              <w:spacing w:after="0" w:line="240" w:lineRule="auto"/>
              <w:jc w:val="center"/>
              <w:rPr>
                <w:rFonts w:ascii="Arial" w:eastAsia="Times New Roman" w:hAnsi="Arial" w:cs="Arial"/>
                <w:color w:val="000000"/>
                <w:sz w:val="20"/>
                <w:szCs w:val="20"/>
                <w:lang w:val="en-GB" w:eastAsia="en-GB"/>
              </w:rPr>
            </w:pPr>
            <w:r w:rsidRPr="00005B77">
              <w:rPr>
                <w:rFonts w:ascii="Arial" w:eastAsia="Times New Roman" w:hAnsi="Arial" w:cs="Arial"/>
                <w:color w:val="FF0000"/>
                <w:sz w:val="20"/>
                <w:szCs w:val="20"/>
                <w:lang w:val="en-GB" w:eastAsia="en-GB"/>
              </w:rPr>
              <w:t>-18%</w:t>
            </w:r>
          </w:p>
        </w:tc>
      </w:tr>
      <w:tr w:rsidR="00005B77" w:rsidRPr="00005B77" w14:paraId="3BDEACDB" w14:textId="77777777" w:rsidTr="00005B77">
        <w:trPr>
          <w:trHeight w:val="255"/>
        </w:trPr>
        <w:tc>
          <w:tcPr>
            <w:tcW w:w="940" w:type="dxa"/>
            <w:tcBorders>
              <w:top w:val="single" w:sz="4" w:space="0" w:color="8EA9DB"/>
              <w:left w:val="single" w:sz="4" w:space="0" w:color="8EA9DB"/>
              <w:bottom w:val="single" w:sz="4" w:space="0" w:color="auto"/>
              <w:right w:val="single" w:sz="4" w:space="0" w:color="FFFFFF"/>
            </w:tcBorders>
            <w:shd w:val="clear" w:color="FFFFCC" w:fill="FE7966"/>
            <w:noWrap/>
            <w:vAlign w:val="bottom"/>
            <w:hideMark/>
          </w:tcPr>
          <w:p w14:paraId="771827ED" w14:textId="77777777" w:rsidR="00005B77" w:rsidRPr="00005B77" w:rsidRDefault="00005B77" w:rsidP="00005B77">
            <w:pPr>
              <w:spacing w:after="0" w:line="240" w:lineRule="auto"/>
              <w:jc w:val="center"/>
              <w:rPr>
                <w:rFonts w:ascii="Arial" w:eastAsia="Times New Roman" w:hAnsi="Arial" w:cs="Arial"/>
                <w:b/>
                <w:bCs/>
                <w:color w:val="161616"/>
                <w:sz w:val="20"/>
                <w:szCs w:val="20"/>
                <w:lang w:val="en-GB" w:eastAsia="en-GB"/>
              </w:rPr>
            </w:pPr>
            <w:r w:rsidRPr="00005B77">
              <w:rPr>
                <w:rFonts w:ascii="Arial" w:eastAsia="Times New Roman" w:hAnsi="Arial" w:cs="Arial"/>
                <w:b/>
                <w:bCs/>
                <w:color w:val="161616"/>
                <w:sz w:val="20"/>
                <w:szCs w:val="20"/>
                <w:lang w:val="en-GB" w:eastAsia="en-GB"/>
              </w:rPr>
              <w:t>E</w:t>
            </w:r>
          </w:p>
        </w:tc>
        <w:tc>
          <w:tcPr>
            <w:tcW w:w="1064" w:type="dxa"/>
            <w:tcBorders>
              <w:top w:val="nil"/>
              <w:left w:val="nil"/>
              <w:bottom w:val="single" w:sz="4" w:space="0" w:color="auto"/>
              <w:right w:val="single" w:sz="4" w:space="0" w:color="FFFFFF"/>
            </w:tcBorders>
            <w:shd w:val="clear" w:color="FFFFCC" w:fill="FFFFFF"/>
            <w:noWrap/>
            <w:vAlign w:val="bottom"/>
            <w:hideMark/>
          </w:tcPr>
          <w:p w14:paraId="74C0B331" w14:textId="2C55AC3E" w:rsidR="00005B77" w:rsidRPr="00005B77" w:rsidRDefault="00005B77" w:rsidP="00005B77">
            <w:pPr>
              <w:spacing w:after="0" w:line="240" w:lineRule="auto"/>
              <w:jc w:val="center"/>
              <w:rPr>
                <w:rFonts w:ascii="Arial" w:eastAsia="Times New Roman" w:hAnsi="Arial" w:cs="Arial"/>
                <w:color w:val="000000"/>
                <w:sz w:val="20"/>
                <w:szCs w:val="20"/>
                <w:lang w:val="en-GB" w:eastAsia="en-GB"/>
              </w:rPr>
            </w:pPr>
            <w:r w:rsidRPr="00005B77">
              <w:rPr>
                <w:rFonts w:ascii="Arial" w:eastAsia="Times New Roman" w:hAnsi="Arial" w:cs="Arial"/>
                <w:color w:val="FF0000"/>
                <w:sz w:val="20"/>
                <w:szCs w:val="20"/>
                <w:lang w:val="en-GB" w:eastAsia="en-GB"/>
              </w:rPr>
              <w:t>-</w:t>
            </w:r>
            <w:r w:rsidR="00A25B62">
              <w:rPr>
                <w:rFonts w:ascii="Arial" w:eastAsia="Times New Roman" w:hAnsi="Arial" w:cs="Arial"/>
                <w:color w:val="FF0000"/>
                <w:sz w:val="20"/>
                <w:szCs w:val="20"/>
                <w:lang w:val="en-GB" w:eastAsia="en-GB"/>
              </w:rPr>
              <w:t>30</w:t>
            </w:r>
          </w:p>
        </w:tc>
        <w:tc>
          <w:tcPr>
            <w:tcW w:w="1576" w:type="dxa"/>
            <w:tcBorders>
              <w:top w:val="nil"/>
              <w:left w:val="nil"/>
              <w:bottom w:val="single" w:sz="4" w:space="0" w:color="auto"/>
              <w:right w:val="single" w:sz="4" w:space="0" w:color="FFFFFF"/>
            </w:tcBorders>
            <w:shd w:val="clear" w:color="FFFFCC" w:fill="FFFFFF"/>
            <w:noWrap/>
            <w:vAlign w:val="bottom"/>
            <w:hideMark/>
          </w:tcPr>
          <w:p w14:paraId="1FA767FF" w14:textId="689110E4" w:rsidR="00005B77" w:rsidRPr="00005B77" w:rsidRDefault="00005B77" w:rsidP="00005B77">
            <w:pPr>
              <w:spacing w:after="0" w:line="240" w:lineRule="auto"/>
              <w:jc w:val="center"/>
              <w:rPr>
                <w:rFonts w:ascii="Arial" w:eastAsia="Times New Roman" w:hAnsi="Arial" w:cs="Arial"/>
                <w:color w:val="000000"/>
                <w:sz w:val="20"/>
                <w:szCs w:val="20"/>
                <w:lang w:val="en-GB" w:eastAsia="en-GB"/>
              </w:rPr>
            </w:pPr>
            <w:r w:rsidRPr="00005B77">
              <w:rPr>
                <w:rFonts w:ascii="Arial" w:eastAsia="Times New Roman" w:hAnsi="Arial" w:cs="Arial"/>
                <w:color w:val="FF0000"/>
                <w:sz w:val="20"/>
                <w:szCs w:val="20"/>
                <w:lang w:val="en-GB" w:eastAsia="en-GB"/>
              </w:rPr>
              <w:t>-</w:t>
            </w:r>
            <w:r w:rsidR="00A25B62">
              <w:rPr>
                <w:rFonts w:ascii="Arial" w:eastAsia="Times New Roman" w:hAnsi="Arial" w:cs="Arial"/>
                <w:color w:val="FF0000"/>
                <w:sz w:val="20"/>
                <w:szCs w:val="20"/>
                <w:lang w:val="en-GB" w:eastAsia="en-GB"/>
              </w:rPr>
              <w:t>10</w:t>
            </w:r>
            <w:r w:rsidRPr="00005B77">
              <w:rPr>
                <w:rFonts w:ascii="Arial" w:eastAsia="Times New Roman" w:hAnsi="Arial" w:cs="Arial"/>
                <w:color w:val="FF0000"/>
                <w:sz w:val="20"/>
                <w:szCs w:val="20"/>
                <w:lang w:val="en-GB" w:eastAsia="en-GB"/>
              </w:rPr>
              <w:t>%</w:t>
            </w:r>
          </w:p>
        </w:tc>
        <w:tc>
          <w:tcPr>
            <w:tcW w:w="924" w:type="dxa"/>
            <w:tcBorders>
              <w:top w:val="nil"/>
              <w:left w:val="nil"/>
              <w:bottom w:val="single" w:sz="4" w:space="0" w:color="000000"/>
              <w:right w:val="single" w:sz="4" w:space="0" w:color="FFFFFF"/>
            </w:tcBorders>
            <w:shd w:val="clear" w:color="FFFFCC" w:fill="FFFFFF"/>
            <w:noWrap/>
            <w:vAlign w:val="bottom"/>
            <w:hideMark/>
          </w:tcPr>
          <w:p w14:paraId="744D6B97" w14:textId="77777777" w:rsidR="00005B77" w:rsidRPr="00005B77" w:rsidRDefault="00005B77" w:rsidP="00005B77">
            <w:pPr>
              <w:spacing w:after="0" w:line="240" w:lineRule="auto"/>
              <w:jc w:val="center"/>
              <w:rPr>
                <w:rFonts w:ascii="Arial" w:eastAsia="Times New Roman" w:hAnsi="Arial" w:cs="Arial"/>
                <w:color w:val="000000"/>
                <w:sz w:val="20"/>
                <w:szCs w:val="20"/>
                <w:lang w:val="en-GB" w:eastAsia="en-GB"/>
              </w:rPr>
            </w:pPr>
            <w:r w:rsidRPr="00005B77">
              <w:rPr>
                <w:rFonts w:ascii="Arial" w:eastAsia="Times New Roman" w:hAnsi="Arial" w:cs="Arial"/>
                <w:color w:val="FF0000"/>
                <w:sz w:val="20"/>
                <w:szCs w:val="20"/>
                <w:lang w:val="en-GB" w:eastAsia="en-GB"/>
              </w:rPr>
              <w:t>-5</w:t>
            </w:r>
          </w:p>
        </w:tc>
        <w:tc>
          <w:tcPr>
            <w:tcW w:w="1956" w:type="dxa"/>
            <w:tcBorders>
              <w:top w:val="nil"/>
              <w:left w:val="nil"/>
              <w:bottom w:val="single" w:sz="4" w:space="0" w:color="000000"/>
              <w:right w:val="single" w:sz="4" w:space="0" w:color="FFFFFF"/>
            </w:tcBorders>
            <w:shd w:val="clear" w:color="FFFFCC" w:fill="FFFFFF"/>
            <w:noWrap/>
            <w:vAlign w:val="bottom"/>
            <w:hideMark/>
          </w:tcPr>
          <w:p w14:paraId="59256468" w14:textId="77777777" w:rsidR="00005B77" w:rsidRPr="00005B77" w:rsidRDefault="00005B77" w:rsidP="00005B77">
            <w:pPr>
              <w:spacing w:after="0" w:line="240" w:lineRule="auto"/>
              <w:jc w:val="center"/>
              <w:rPr>
                <w:rFonts w:ascii="Arial" w:eastAsia="Times New Roman" w:hAnsi="Arial" w:cs="Arial"/>
                <w:color w:val="000000"/>
                <w:sz w:val="20"/>
                <w:szCs w:val="20"/>
                <w:lang w:val="en-GB" w:eastAsia="en-GB"/>
              </w:rPr>
            </w:pPr>
            <w:r w:rsidRPr="00005B77">
              <w:rPr>
                <w:rFonts w:ascii="Arial" w:eastAsia="Times New Roman" w:hAnsi="Arial" w:cs="Arial"/>
                <w:color w:val="FF0000"/>
                <w:sz w:val="20"/>
                <w:szCs w:val="20"/>
                <w:lang w:val="en-GB" w:eastAsia="en-GB"/>
              </w:rPr>
              <w:t>-16%</w:t>
            </w:r>
          </w:p>
        </w:tc>
        <w:tc>
          <w:tcPr>
            <w:tcW w:w="924" w:type="dxa"/>
            <w:tcBorders>
              <w:top w:val="nil"/>
              <w:left w:val="nil"/>
              <w:bottom w:val="single" w:sz="4" w:space="0" w:color="8EA9DB"/>
              <w:right w:val="nil"/>
            </w:tcBorders>
            <w:shd w:val="clear" w:color="FFFFCC" w:fill="FFFFFF"/>
            <w:noWrap/>
            <w:vAlign w:val="bottom"/>
            <w:hideMark/>
          </w:tcPr>
          <w:p w14:paraId="0A89E0FF" w14:textId="77777777" w:rsidR="00005B77" w:rsidRPr="00005B77" w:rsidRDefault="00005B77" w:rsidP="00005B77">
            <w:pPr>
              <w:spacing w:after="0" w:line="240" w:lineRule="auto"/>
              <w:jc w:val="center"/>
              <w:rPr>
                <w:rFonts w:ascii="Arial" w:eastAsia="Times New Roman" w:hAnsi="Arial" w:cs="Arial"/>
                <w:color w:val="000000"/>
                <w:sz w:val="20"/>
                <w:szCs w:val="20"/>
                <w:lang w:val="en-GB" w:eastAsia="en-GB"/>
              </w:rPr>
            </w:pPr>
            <w:r w:rsidRPr="00005B77">
              <w:rPr>
                <w:rFonts w:ascii="Arial" w:eastAsia="Times New Roman" w:hAnsi="Arial" w:cs="Arial"/>
                <w:color w:val="FF0000"/>
                <w:sz w:val="20"/>
                <w:szCs w:val="20"/>
                <w:lang w:val="en-GB" w:eastAsia="en-GB"/>
              </w:rPr>
              <w:t>-5</w:t>
            </w:r>
          </w:p>
        </w:tc>
        <w:tc>
          <w:tcPr>
            <w:tcW w:w="1956" w:type="dxa"/>
            <w:tcBorders>
              <w:top w:val="nil"/>
              <w:left w:val="nil"/>
              <w:bottom w:val="single" w:sz="4" w:space="0" w:color="8EA9DB"/>
              <w:right w:val="single" w:sz="4" w:space="0" w:color="FFFFFF"/>
            </w:tcBorders>
            <w:shd w:val="clear" w:color="FFFFCC" w:fill="FFFFFF"/>
            <w:noWrap/>
            <w:vAlign w:val="bottom"/>
            <w:hideMark/>
          </w:tcPr>
          <w:p w14:paraId="668949BC" w14:textId="77777777" w:rsidR="00005B77" w:rsidRPr="00005B77" w:rsidRDefault="00005B77" w:rsidP="00005B77">
            <w:pPr>
              <w:keepNext/>
              <w:spacing w:after="0" w:line="240" w:lineRule="auto"/>
              <w:jc w:val="center"/>
              <w:rPr>
                <w:rFonts w:ascii="Arial" w:eastAsia="Times New Roman" w:hAnsi="Arial" w:cs="Arial"/>
                <w:color w:val="000000"/>
                <w:sz w:val="20"/>
                <w:szCs w:val="20"/>
                <w:lang w:val="en-GB" w:eastAsia="en-GB"/>
              </w:rPr>
            </w:pPr>
            <w:r w:rsidRPr="00005B77">
              <w:rPr>
                <w:rFonts w:ascii="Arial" w:eastAsia="Times New Roman" w:hAnsi="Arial" w:cs="Arial"/>
                <w:color w:val="FF0000"/>
                <w:sz w:val="20"/>
                <w:szCs w:val="20"/>
                <w:lang w:val="en-GB" w:eastAsia="en-GB"/>
              </w:rPr>
              <w:t>-23%</w:t>
            </w:r>
          </w:p>
        </w:tc>
      </w:tr>
    </w:tbl>
    <w:p w14:paraId="56217E51" w14:textId="4434A50B" w:rsidR="00005B77" w:rsidRDefault="00005B77" w:rsidP="00005B77">
      <w:pPr>
        <w:pStyle w:val="Caption"/>
        <w:rPr>
          <w:bCs w:val="0"/>
          <w:i w:val="0"/>
        </w:rPr>
      </w:pPr>
      <w:bookmarkStart w:id="97" w:name="_Toc512556865"/>
      <w:r>
        <w:t xml:space="preserve">Table </w:t>
      </w:r>
      <w:r>
        <w:fldChar w:fldCharType="begin"/>
      </w:r>
      <w:r>
        <w:instrText xml:space="preserve"> SEQ Table \* ARABIC </w:instrText>
      </w:r>
      <w:r>
        <w:fldChar w:fldCharType="separate"/>
      </w:r>
      <w:r w:rsidR="0099156B">
        <w:rPr>
          <w:noProof/>
        </w:rPr>
        <w:t>8</w:t>
      </w:r>
      <w:r>
        <w:fldChar w:fldCharType="end"/>
      </w:r>
      <w:r>
        <w:t xml:space="preserve"> – Constituent countries change in S167 intent and grade</w:t>
      </w:r>
      <w:bookmarkEnd w:id="97"/>
    </w:p>
    <w:p w14:paraId="5F3134C9" w14:textId="77777777" w:rsidR="00005B77" w:rsidRDefault="00005B77">
      <w:pPr>
        <w:spacing w:after="0" w:line="240" w:lineRule="auto"/>
        <w:jc w:val="left"/>
      </w:pPr>
      <w:r>
        <w:t xml:space="preserve">The change in Welsh authorities’ intent regarding S167 lists is notable. </w:t>
      </w:r>
    </w:p>
    <w:p w14:paraId="5ECB4638" w14:textId="77777777" w:rsidR="007628B3" w:rsidRDefault="00005B77">
      <w:pPr>
        <w:spacing w:after="0" w:line="240" w:lineRule="auto"/>
        <w:jc w:val="left"/>
      </w:pPr>
      <w:r>
        <w:t xml:space="preserve">There has been a comparatively small increase in Scottish </w:t>
      </w:r>
      <w:r w:rsidR="007628B3">
        <w:t>compliance with S167.</w:t>
      </w:r>
    </w:p>
    <w:p w14:paraId="0F5222A2" w14:textId="77777777" w:rsidR="0000457B" w:rsidRDefault="0000457B" w:rsidP="0000457B">
      <w:pPr>
        <w:pStyle w:val="Heading2"/>
      </w:pPr>
      <w:bookmarkStart w:id="98" w:name="_Toc512556902"/>
      <w:r>
        <w:t>Authorities with 100% wheelchair accessible fleets</w:t>
      </w:r>
      <w:bookmarkEnd w:id="98"/>
    </w:p>
    <w:p w14:paraId="7304BC44" w14:textId="0561310C" w:rsidR="0000457B" w:rsidRDefault="0000457B" w:rsidP="0000457B">
      <w:r>
        <w:t>Authorities whose Hackney Carriages are 100% wheelchair accessible have varying approaches to S167 lists.</w:t>
      </w:r>
    </w:p>
    <w:p w14:paraId="6B5383D6" w14:textId="7A52F745" w:rsidR="00637D6F" w:rsidRDefault="0000457B" w:rsidP="00637D6F">
      <w:pPr>
        <w:keepNext/>
      </w:pPr>
      <w:r>
        <w:rPr>
          <w:noProof/>
        </w:rPr>
        <w:drawing>
          <wp:inline distT="0" distB="0" distL="0" distR="0" wp14:anchorId="66B32AF2" wp14:editId="11C355EE">
            <wp:extent cx="2324100" cy="2181225"/>
            <wp:effectExtent l="57150" t="57150" r="190500" b="161925"/>
            <wp:docPr id="2" name="Chart 2">
              <a:extLst xmlns:a="http://schemas.openxmlformats.org/drawingml/2006/main">
                <a:ext uri="{FF2B5EF4-FFF2-40B4-BE49-F238E27FC236}">
                  <a16:creationId xmlns:a16="http://schemas.microsoft.com/office/drawing/2014/main" id="{07351685-63CE-4939-9849-42D4D117BB8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r>
        <w:rPr>
          <w:noProof/>
        </w:rPr>
        <w:drawing>
          <wp:inline distT="0" distB="0" distL="0" distR="0" wp14:anchorId="381B7D1F" wp14:editId="745E22CA">
            <wp:extent cx="2362200" cy="2200275"/>
            <wp:effectExtent l="38100" t="57150" r="171450" b="161925"/>
            <wp:docPr id="5" name="Chart 5">
              <a:extLst xmlns:a="http://schemas.openxmlformats.org/drawingml/2006/main">
                <a:ext uri="{FF2B5EF4-FFF2-40B4-BE49-F238E27FC236}">
                  <a16:creationId xmlns:a16="http://schemas.microsoft.com/office/drawing/2014/main" id="{DE079121-06E1-425D-951A-9C6B329256B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156D4F64" w14:textId="79B21E28" w:rsidR="0000457B" w:rsidRDefault="00637D6F" w:rsidP="00637D6F">
      <w:pPr>
        <w:pStyle w:val="Caption"/>
        <w:jc w:val="both"/>
      </w:pPr>
      <w:bookmarkStart w:id="99" w:name="_Toc512556856"/>
      <w:r>
        <w:t xml:space="preserve">Figure </w:t>
      </w:r>
      <w:r>
        <w:fldChar w:fldCharType="begin"/>
      </w:r>
      <w:r>
        <w:instrText xml:space="preserve"> SEQ Figure \* ARABIC </w:instrText>
      </w:r>
      <w:r>
        <w:fldChar w:fldCharType="separate"/>
      </w:r>
      <w:r w:rsidR="0099156B">
        <w:rPr>
          <w:noProof/>
        </w:rPr>
        <w:t>7</w:t>
      </w:r>
      <w:r>
        <w:fldChar w:fldCharType="end"/>
      </w:r>
      <w:r>
        <w:t xml:space="preserve"> – S167 intent and grade of authorities with 100% accessible hackney carriage fleets</w:t>
      </w:r>
      <w:bookmarkEnd w:id="99"/>
    </w:p>
    <w:p w14:paraId="72DDB824" w14:textId="7F2297F2" w:rsidR="00637D6F" w:rsidRDefault="00637D6F" w:rsidP="00637D6F">
      <w:pPr>
        <w:pStyle w:val="Caption"/>
        <w:keepNext/>
      </w:pPr>
      <w:r>
        <w:rPr>
          <w:noProof/>
        </w:rPr>
        <mc:AlternateContent>
          <mc:Choice Requires="wps">
            <w:drawing>
              <wp:anchor distT="45720" distB="45720" distL="114300" distR="114300" simplePos="0" relativeHeight="251844096" behindDoc="0" locked="0" layoutInCell="1" allowOverlap="1" wp14:anchorId="253869B0" wp14:editId="6316E9B6">
                <wp:simplePos x="0" y="0"/>
                <wp:positionH relativeFrom="column">
                  <wp:posOffset>2657475</wp:posOffset>
                </wp:positionH>
                <wp:positionV relativeFrom="paragraph">
                  <wp:posOffset>46355</wp:posOffset>
                </wp:positionV>
                <wp:extent cx="2276475" cy="1400175"/>
                <wp:effectExtent l="0" t="0" r="9525" b="952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6475" cy="1400175"/>
                        </a:xfrm>
                        <a:prstGeom prst="rect">
                          <a:avLst/>
                        </a:prstGeom>
                        <a:solidFill>
                          <a:srgbClr val="FFFFFF"/>
                        </a:solidFill>
                        <a:ln w="9525">
                          <a:noFill/>
                          <a:miter lim="800000"/>
                          <a:headEnd/>
                          <a:tailEnd/>
                        </a:ln>
                      </wps:spPr>
                      <wps:txbx>
                        <w:txbxContent>
                          <w:tbl>
                            <w:tblPr>
                              <w:tblW w:w="3114" w:type="dxa"/>
                              <w:tblLook w:val="04A0" w:firstRow="1" w:lastRow="0" w:firstColumn="1" w:lastColumn="0" w:noHBand="0" w:noVBand="1"/>
                            </w:tblPr>
                            <w:tblGrid>
                              <w:gridCol w:w="828"/>
                              <w:gridCol w:w="1272"/>
                              <w:gridCol w:w="1272"/>
                            </w:tblGrid>
                            <w:tr w:rsidR="00D660E4" w:rsidRPr="0000457B" w14:paraId="168D2DA9" w14:textId="77777777" w:rsidTr="0000457B">
                              <w:trPr>
                                <w:trHeight w:val="255"/>
                              </w:trPr>
                              <w:tc>
                                <w:tcPr>
                                  <w:tcW w:w="828" w:type="dxa"/>
                                  <w:tcBorders>
                                    <w:top w:val="single" w:sz="4" w:space="0" w:color="757171"/>
                                    <w:left w:val="single" w:sz="4" w:space="0" w:color="757171"/>
                                    <w:bottom w:val="single" w:sz="4" w:space="0" w:color="757171"/>
                                    <w:right w:val="single" w:sz="4" w:space="0" w:color="FFFFFF"/>
                                  </w:tcBorders>
                                  <w:shd w:val="clear" w:color="FFFFCC" w:fill="FFFFFF"/>
                                  <w:noWrap/>
                                  <w:vAlign w:val="bottom"/>
                                  <w:hideMark/>
                                </w:tcPr>
                                <w:p w14:paraId="7B5D4DF1" w14:textId="77777777" w:rsidR="00D660E4" w:rsidRPr="0000457B" w:rsidRDefault="00D660E4" w:rsidP="0000457B">
                                  <w:pPr>
                                    <w:spacing w:after="0" w:line="240" w:lineRule="auto"/>
                                    <w:jc w:val="center"/>
                                    <w:rPr>
                                      <w:rFonts w:ascii="Arial" w:eastAsia="Times New Roman" w:hAnsi="Arial" w:cs="Arial"/>
                                      <w:b/>
                                      <w:bCs/>
                                      <w:color w:val="000000"/>
                                      <w:sz w:val="20"/>
                                      <w:szCs w:val="20"/>
                                      <w:lang w:val="en-GB" w:eastAsia="en-GB"/>
                                    </w:rPr>
                                  </w:pPr>
                                  <w:r w:rsidRPr="0000457B">
                                    <w:rPr>
                                      <w:rFonts w:ascii="Arial" w:eastAsia="Times New Roman" w:hAnsi="Arial" w:cs="Arial"/>
                                      <w:b/>
                                      <w:bCs/>
                                      <w:color w:val="000000"/>
                                      <w:sz w:val="20"/>
                                      <w:szCs w:val="20"/>
                                      <w:lang w:val="en-GB" w:eastAsia="en-GB"/>
                                    </w:rPr>
                                    <w:t>S167 Status</w:t>
                                  </w:r>
                                </w:p>
                              </w:tc>
                              <w:tc>
                                <w:tcPr>
                                  <w:tcW w:w="1272" w:type="dxa"/>
                                  <w:tcBorders>
                                    <w:top w:val="single" w:sz="4" w:space="0" w:color="757171"/>
                                    <w:left w:val="single" w:sz="4" w:space="0" w:color="FFFFFF"/>
                                    <w:bottom w:val="single" w:sz="4" w:space="0" w:color="757171"/>
                                    <w:right w:val="single" w:sz="4" w:space="0" w:color="FFFFFF"/>
                                  </w:tcBorders>
                                  <w:shd w:val="clear" w:color="FFFFCC" w:fill="FFFFFF"/>
                                  <w:noWrap/>
                                  <w:vAlign w:val="bottom"/>
                                  <w:hideMark/>
                                </w:tcPr>
                                <w:p w14:paraId="45841D59" w14:textId="77777777" w:rsidR="00D660E4" w:rsidRPr="0000457B" w:rsidRDefault="00D660E4" w:rsidP="0000457B">
                                  <w:pPr>
                                    <w:spacing w:after="0" w:line="240" w:lineRule="auto"/>
                                    <w:jc w:val="center"/>
                                    <w:rPr>
                                      <w:rFonts w:ascii="Arial" w:eastAsia="Times New Roman" w:hAnsi="Arial" w:cs="Arial"/>
                                      <w:b/>
                                      <w:bCs/>
                                      <w:color w:val="000000"/>
                                      <w:sz w:val="20"/>
                                      <w:szCs w:val="20"/>
                                      <w:lang w:val="en-GB" w:eastAsia="en-GB"/>
                                    </w:rPr>
                                  </w:pPr>
                                  <w:r w:rsidRPr="0000457B">
                                    <w:rPr>
                                      <w:rFonts w:ascii="Arial" w:eastAsia="Times New Roman" w:hAnsi="Arial" w:cs="Arial"/>
                                      <w:b/>
                                      <w:bCs/>
                                      <w:color w:val="000000"/>
                                      <w:sz w:val="20"/>
                                      <w:szCs w:val="20"/>
                                      <w:lang w:val="en-GB" w:eastAsia="en-GB"/>
                                    </w:rPr>
                                    <w:t># Authorities</w:t>
                                  </w:r>
                                </w:p>
                              </w:tc>
                              <w:tc>
                                <w:tcPr>
                                  <w:tcW w:w="1014" w:type="dxa"/>
                                  <w:tcBorders>
                                    <w:top w:val="single" w:sz="4" w:space="0" w:color="757171"/>
                                    <w:left w:val="single" w:sz="4" w:space="0" w:color="FFFFFF"/>
                                    <w:bottom w:val="single" w:sz="4" w:space="0" w:color="757171"/>
                                    <w:right w:val="single" w:sz="4" w:space="0" w:color="757171"/>
                                  </w:tcBorders>
                                  <w:shd w:val="clear" w:color="FFFFCC" w:fill="FFFFFF"/>
                                  <w:noWrap/>
                                  <w:vAlign w:val="bottom"/>
                                  <w:hideMark/>
                                </w:tcPr>
                                <w:p w14:paraId="7866B07A" w14:textId="77777777" w:rsidR="00D660E4" w:rsidRPr="0000457B" w:rsidRDefault="00D660E4" w:rsidP="0000457B">
                                  <w:pPr>
                                    <w:spacing w:after="0" w:line="240" w:lineRule="auto"/>
                                    <w:jc w:val="center"/>
                                    <w:rPr>
                                      <w:rFonts w:ascii="Arial" w:eastAsia="Times New Roman" w:hAnsi="Arial" w:cs="Arial"/>
                                      <w:b/>
                                      <w:bCs/>
                                      <w:color w:val="000000"/>
                                      <w:sz w:val="20"/>
                                      <w:szCs w:val="20"/>
                                      <w:lang w:val="en-GB" w:eastAsia="en-GB"/>
                                    </w:rPr>
                                  </w:pPr>
                                  <w:r w:rsidRPr="0000457B">
                                    <w:rPr>
                                      <w:rFonts w:ascii="Arial" w:eastAsia="Times New Roman" w:hAnsi="Arial" w:cs="Arial"/>
                                      <w:b/>
                                      <w:bCs/>
                                      <w:color w:val="000000"/>
                                      <w:sz w:val="20"/>
                                      <w:szCs w:val="20"/>
                                      <w:lang w:val="en-GB" w:eastAsia="en-GB"/>
                                    </w:rPr>
                                    <w:t>% Authorities</w:t>
                                  </w:r>
                                </w:p>
                              </w:tc>
                            </w:tr>
                            <w:tr w:rsidR="00D660E4" w:rsidRPr="0000457B" w14:paraId="049C0200" w14:textId="77777777" w:rsidTr="0000457B">
                              <w:trPr>
                                <w:trHeight w:val="255"/>
                              </w:trPr>
                              <w:tc>
                                <w:tcPr>
                                  <w:tcW w:w="828" w:type="dxa"/>
                                  <w:tcBorders>
                                    <w:top w:val="single" w:sz="4" w:space="0" w:color="FFFFFF"/>
                                    <w:left w:val="single" w:sz="4" w:space="0" w:color="FFFFFF"/>
                                    <w:bottom w:val="single" w:sz="4" w:space="0" w:color="FFFFFF"/>
                                    <w:right w:val="single" w:sz="4" w:space="0" w:color="FFFFFF"/>
                                  </w:tcBorders>
                                  <w:shd w:val="clear" w:color="FFFFCC" w:fill="B0CC66"/>
                                  <w:noWrap/>
                                  <w:vAlign w:val="bottom"/>
                                  <w:hideMark/>
                                </w:tcPr>
                                <w:p w14:paraId="411D7141" w14:textId="77777777" w:rsidR="00D660E4" w:rsidRPr="0000457B" w:rsidRDefault="00D660E4" w:rsidP="0000457B">
                                  <w:pPr>
                                    <w:spacing w:after="0" w:line="240" w:lineRule="auto"/>
                                    <w:jc w:val="center"/>
                                    <w:rPr>
                                      <w:rFonts w:ascii="Arial" w:eastAsia="Times New Roman" w:hAnsi="Arial" w:cs="Arial"/>
                                      <w:b/>
                                      <w:bCs/>
                                      <w:color w:val="375623"/>
                                      <w:sz w:val="20"/>
                                      <w:szCs w:val="20"/>
                                      <w:lang w:val="en-GB" w:eastAsia="en-GB"/>
                                    </w:rPr>
                                  </w:pPr>
                                  <w:r w:rsidRPr="0000457B">
                                    <w:rPr>
                                      <w:rFonts w:ascii="Arial" w:eastAsia="Times New Roman" w:hAnsi="Arial" w:cs="Arial"/>
                                      <w:b/>
                                      <w:bCs/>
                                      <w:color w:val="375623"/>
                                      <w:sz w:val="20"/>
                                      <w:szCs w:val="20"/>
                                      <w:lang w:val="en-GB" w:eastAsia="en-GB"/>
                                    </w:rPr>
                                    <w:t>A</w:t>
                                  </w:r>
                                </w:p>
                              </w:tc>
                              <w:tc>
                                <w:tcPr>
                                  <w:tcW w:w="1272" w:type="dxa"/>
                                  <w:tcBorders>
                                    <w:top w:val="single" w:sz="4" w:space="0" w:color="FFFFFF"/>
                                    <w:left w:val="single" w:sz="4" w:space="0" w:color="FFFFFF"/>
                                    <w:bottom w:val="single" w:sz="4" w:space="0" w:color="FFFFFF"/>
                                    <w:right w:val="single" w:sz="4" w:space="0" w:color="FFFFFF"/>
                                  </w:tcBorders>
                                  <w:shd w:val="clear" w:color="FFFFCC" w:fill="FFFFFF"/>
                                  <w:noWrap/>
                                  <w:vAlign w:val="bottom"/>
                                  <w:hideMark/>
                                </w:tcPr>
                                <w:p w14:paraId="218EA1AF" w14:textId="77777777" w:rsidR="00D660E4" w:rsidRPr="0000457B" w:rsidRDefault="00D660E4" w:rsidP="0000457B">
                                  <w:pPr>
                                    <w:spacing w:after="0" w:line="240" w:lineRule="auto"/>
                                    <w:jc w:val="center"/>
                                    <w:rPr>
                                      <w:rFonts w:ascii="Arial" w:eastAsia="Times New Roman" w:hAnsi="Arial" w:cs="Arial"/>
                                      <w:b/>
                                      <w:bCs/>
                                      <w:color w:val="757171"/>
                                      <w:sz w:val="20"/>
                                      <w:szCs w:val="20"/>
                                      <w:lang w:val="en-GB" w:eastAsia="en-GB"/>
                                    </w:rPr>
                                  </w:pPr>
                                  <w:r w:rsidRPr="0000457B">
                                    <w:rPr>
                                      <w:rFonts w:ascii="Arial" w:eastAsia="Times New Roman" w:hAnsi="Arial" w:cs="Arial"/>
                                      <w:b/>
                                      <w:bCs/>
                                      <w:color w:val="757171"/>
                                      <w:sz w:val="20"/>
                                      <w:szCs w:val="20"/>
                                      <w:lang w:val="en-GB" w:eastAsia="en-GB"/>
                                    </w:rPr>
                                    <w:t>18</w:t>
                                  </w:r>
                                </w:p>
                              </w:tc>
                              <w:tc>
                                <w:tcPr>
                                  <w:tcW w:w="1014" w:type="dxa"/>
                                  <w:tcBorders>
                                    <w:top w:val="single" w:sz="4" w:space="0" w:color="FFFFFF"/>
                                    <w:left w:val="single" w:sz="4" w:space="0" w:color="FFFFFF"/>
                                    <w:bottom w:val="single" w:sz="4" w:space="0" w:color="FFFFFF"/>
                                    <w:right w:val="single" w:sz="4" w:space="0" w:color="FFFFFF"/>
                                  </w:tcBorders>
                                  <w:shd w:val="clear" w:color="FFFFCC" w:fill="FFFFFF"/>
                                  <w:noWrap/>
                                  <w:vAlign w:val="bottom"/>
                                  <w:hideMark/>
                                </w:tcPr>
                                <w:p w14:paraId="77DD6C98" w14:textId="77777777" w:rsidR="00D660E4" w:rsidRPr="0000457B" w:rsidRDefault="00D660E4" w:rsidP="0000457B">
                                  <w:pPr>
                                    <w:spacing w:after="0" w:line="240" w:lineRule="auto"/>
                                    <w:jc w:val="center"/>
                                    <w:rPr>
                                      <w:rFonts w:ascii="Arial" w:eastAsia="Times New Roman" w:hAnsi="Arial" w:cs="Arial"/>
                                      <w:b/>
                                      <w:bCs/>
                                      <w:color w:val="757171"/>
                                      <w:sz w:val="20"/>
                                      <w:szCs w:val="20"/>
                                      <w:lang w:val="en-GB" w:eastAsia="en-GB"/>
                                    </w:rPr>
                                  </w:pPr>
                                  <w:r w:rsidRPr="0000457B">
                                    <w:rPr>
                                      <w:rFonts w:ascii="Arial" w:eastAsia="Times New Roman" w:hAnsi="Arial" w:cs="Arial"/>
                                      <w:b/>
                                      <w:bCs/>
                                      <w:color w:val="757171"/>
                                      <w:sz w:val="20"/>
                                      <w:szCs w:val="20"/>
                                      <w:lang w:val="en-GB" w:eastAsia="en-GB"/>
                                    </w:rPr>
                                    <w:t>27%</w:t>
                                  </w:r>
                                </w:p>
                              </w:tc>
                            </w:tr>
                            <w:tr w:rsidR="00D660E4" w:rsidRPr="0000457B" w14:paraId="6EA95199" w14:textId="77777777" w:rsidTr="0000457B">
                              <w:trPr>
                                <w:trHeight w:val="255"/>
                              </w:trPr>
                              <w:tc>
                                <w:tcPr>
                                  <w:tcW w:w="828" w:type="dxa"/>
                                  <w:tcBorders>
                                    <w:top w:val="single" w:sz="4" w:space="0" w:color="FFFFFF"/>
                                    <w:left w:val="single" w:sz="4" w:space="0" w:color="FFFFFF"/>
                                    <w:bottom w:val="single" w:sz="4" w:space="0" w:color="FFFFFF"/>
                                    <w:right w:val="single" w:sz="4" w:space="0" w:color="FFFFFF"/>
                                  </w:tcBorders>
                                  <w:shd w:val="clear" w:color="FFFFCC" w:fill="C1FFC1"/>
                                  <w:noWrap/>
                                  <w:vAlign w:val="bottom"/>
                                  <w:hideMark/>
                                </w:tcPr>
                                <w:p w14:paraId="70057A5C" w14:textId="77777777" w:rsidR="00D660E4" w:rsidRPr="0000457B" w:rsidRDefault="00D660E4" w:rsidP="0000457B">
                                  <w:pPr>
                                    <w:spacing w:after="0" w:line="240" w:lineRule="auto"/>
                                    <w:jc w:val="center"/>
                                    <w:rPr>
                                      <w:rFonts w:ascii="Arial" w:eastAsia="Times New Roman" w:hAnsi="Arial" w:cs="Arial"/>
                                      <w:b/>
                                      <w:bCs/>
                                      <w:color w:val="375623"/>
                                      <w:sz w:val="20"/>
                                      <w:szCs w:val="20"/>
                                      <w:lang w:val="en-GB" w:eastAsia="en-GB"/>
                                    </w:rPr>
                                  </w:pPr>
                                  <w:r w:rsidRPr="0000457B">
                                    <w:rPr>
                                      <w:rFonts w:ascii="Arial" w:eastAsia="Times New Roman" w:hAnsi="Arial" w:cs="Arial"/>
                                      <w:b/>
                                      <w:bCs/>
                                      <w:color w:val="375623"/>
                                      <w:sz w:val="20"/>
                                      <w:szCs w:val="20"/>
                                      <w:lang w:val="en-GB" w:eastAsia="en-GB"/>
                                    </w:rPr>
                                    <w:t>B</w:t>
                                  </w:r>
                                </w:p>
                              </w:tc>
                              <w:tc>
                                <w:tcPr>
                                  <w:tcW w:w="1272" w:type="dxa"/>
                                  <w:tcBorders>
                                    <w:top w:val="single" w:sz="4" w:space="0" w:color="FFFFFF"/>
                                    <w:left w:val="single" w:sz="4" w:space="0" w:color="FFFFFF"/>
                                    <w:bottom w:val="single" w:sz="4" w:space="0" w:color="FFFFFF"/>
                                    <w:right w:val="single" w:sz="4" w:space="0" w:color="FFFFFF"/>
                                  </w:tcBorders>
                                  <w:shd w:val="clear" w:color="FFFFCC" w:fill="FFFFFF"/>
                                  <w:noWrap/>
                                  <w:vAlign w:val="bottom"/>
                                  <w:hideMark/>
                                </w:tcPr>
                                <w:p w14:paraId="1D341CC0" w14:textId="77777777" w:rsidR="00D660E4" w:rsidRPr="0000457B" w:rsidRDefault="00D660E4" w:rsidP="0000457B">
                                  <w:pPr>
                                    <w:spacing w:after="0" w:line="240" w:lineRule="auto"/>
                                    <w:jc w:val="center"/>
                                    <w:rPr>
                                      <w:rFonts w:ascii="Arial" w:eastAsia="Times New Roman" w:hAnsi="Arial" w:cs="Arial"/>
                                      <w:b/>
                                      <w:bCs/>
                                      <w:color w:val="757171"/>
                                      <w:sz w:val="20"/>
                                      <w:szCs w:val="20"/>
                                      <w:lang w:val="en-GB" w:eastAsia="en-GB"/>
                                    </w:rPr>
                                  </w:pPr>
                                  <w:r w:rsidRPr="0000457B">
                                    <w:rPr>
                                      <w:rFonts w:ascii="Arial" w:eastAsia="Times New Roman" w:hAnsi="Arial" w:cs="Arial"/>
                                      <w:b/>
                                      <w:bCs/>
                                      <w:color w:val="757171"/>
                                      <w:sz w:val="20"/>
                                      <w:szCs w:val="20"/>
                                      <w:lang w:val="en-GB" w:eastAsia="en-GB"/>
                                    </w:rPr>
                                    <w:t>13</w:t>
                                  </w:r>
                                </w:p>
                              </w:tc>
                              <w:tc>
                                <w:tcPr>
                                  <w:tcW w:w="1014" w:type="dxa"/>
                                  <w:tcBorders>
                                    <w:top w:val="single" w:sz="4" w:space="0" w:color="FFFFFF"/>
                                    <w:left w:val="single" w:sz="4" w:space="0" w:color="FFFFFF"/>
                                    <w:bottom w:val="single" w:sz="4" w:space="0" w:color="FFFFFF"/>
                                    <w:right w:val="single" w:sz="4" w:space="0" w:color="FFFFFF"/>
                                  </w:tcBorders>
                                  <w:shd w:val="clear" w:color="FFFFCC" w:fill="FFFFFF"/>
                                  <w:noWrap/>
                                  <w:vAlign w:val="bottom"/>
                                  <w:hideMark/>
                                </w:tcPr>
                                <w:p w14:paraId="733FB901" w14:textId="77777777" w:rsidR="00D660E4" w:rsidRPr="0000457B" w:rsidRDefault="00D660E4" w:rsidP="0000457B">
                                  <w:pPr>
                                    <w:spacing w:after="0" w:line="240" w:lineRule="auto"/>
                                    <w:jc w:val="center"/>
                                    <w:rPr>
                                      <w:rFonts w:ascii="Arial" w:eastAsia="Times New Roman" w:hAnsi="Arial" w:cs="Arial"/>
                                      <w:b/>
                                      <w:bCs/>
                                      <w:color w:val="757171"/>
                                      <w:sz w:val="20"/>
                                      <w:szCs w:val="20"/>
                                      <w:lang w:val="en-GB" w:eastAsia="en-GB"/>
                                    </w:rPr>
                                  </w:pPr>
                                  <w:r w:rsidRPr="0000457B">
                                    <w:rPr>
                                      <w:rFonts w:ascii="Arial" w:eastAsia="Times New Roman" w:hAnsi="Arial" w:cs="Arial"/>
                                      <w:b/>
                                      <w:bCs/>
                                      <w:color w:val="757171"/>
                                      <w:sz w:val="20"/>
                                      <w:szCs w:val="20"/>
                                      <w:lang w:val="en-GB" w:eastAsia="en-GB"/>
                                    </w:rPr>
                                    <w:t>20%</w:t>
                                  </w:r>
                                </w:p>
                              </w:tc>
                            </w:tr>
                            <w:tr w:rsidR="00D660E4" w:rsidRPr="0000457B" w14:paraId="72616D2A" w14:textId="77777777" w:rsidTr="0000457B">
                              <w:trPr>
                                <w:trHeight w:val="255"/>
                              </w:trPr>
                              <w:tc>
                                <w:tcPr>
                                  <w:tcW w:w="828" w:type="dxa"/>
                                  <w:tcBorders>
                                    <w:top w:val="single" w:sz="4" w:space="0" w:color="FFFFFF"/>
                                    <w:left w:val="single" w:sz="4" w:space="0" w:color="FFFFFF"/>
                                    <w:bottom w:val="single" w:sz="4" w:space="0" w:color="FFFFFF"/>
                                    <w:right w:val="single" w:sz="4" w:space="0" w:color="FFFFFF"/>
                                  </w:tcBorders>
                                  <w:shd w:val="clear" w:color="FFFFCC" w:fill="FFFF66"/>
                                  <w:noWrap/>
                                  <w:vAlign w:val="bottom"/>
                                  <w:hideMark/>
                                </w:tcPr>
                                <w:p w14:paraId="70AC4CB2" w14:textId="77777777" w:rsidR="00D660E4" w:rsidRPr="0000457B" w:rsidRDefault="00D660E4" w:rsidP="0000457B">
                                  <w:pPr>
                                    <w:spacing w:after="0" w:line="240" w:lineRule="auto"/>
                                    <w:jc w:val="center"/>
                                    <w:rPr>
                                      <w:rFonts w:ascii="Arial" w:eastAsia="Times New Roman" w:hAnsi="Arial" w:cs="Arial"/>
                                      <w:b/>
                                      <w:bCs/>
                                      <w:color w:val="806000"/>
                                      <w:sz w:val="20"/>
                                      <w:szCs w:val="20"/>
                                      <w:lang w:val="en-GB" w:eastAsia="en-GB"/>
                                    </w:rPr>
                                  </w:pPr>
                                  <w:r w:rsidRPr="0000457B">
                                    <w:rPr>
                                      <w:rFonts w:ascii="Arial" w:eastAsia="Times New Roman" w:hAnsi="Arial" w:cs="Arial"/>
                                      <w:b/>
                                      <w:bCs/>
                                      <w:color w:val="806000"/>
                                      <w:sz w:val="20"/>
                                      <w:szCs w:val="20"/>
                                      <w:lang w:val="en-GB" w:eastAsia="en-GB"/>
                                    </w:rPr>
                                    <w:t>C</w:t>
                                  </w:r>
                                </w:p>
                              </w:tc>
                              <w:tc>
                                <w:tcPr>
                                  <w:tcW w:w="1272" w:type="dxa"/>
                                  <w:tcBorders>
                                    <w:top w:val="single" w:sz="4" w:space="0" w:color="FFFFFF"/>
                                    <w:left w:val="single" w:sz="4" w:space="0" w:color="FFFFFF"/>
                                    <w:bottom w:val="single" w:sz="4" w:space="0" w:color="FFFFFF"/>
                                    <w:right w:val="single" w:sz="4" w:space="0" w:color="FFFFFF"/>
                                  </w:tcBorders>
                                  <w:shd w:val="clear" w:color="FFFFCC" w:fill="FFFFFF"/>
                                  <w:noWrap/>
                                  <w:vAlign w:val="bottom"/>
                                  <w:hideMark/>
                                </w:tcPr>
                                <w:p w14:paraId="1D073B15" w14:textId="77777777" w:rsidR="00D660E4" w:rsidRPr="0000457B" w:rsidRDefault="00D660E4" w:rsidP="0000457B">
                                  <w:pPr>
                                    <w:spacing w:after="0" w:line="240" w:lineRule="auto"/>
                                    <w:jc w:val="center"/>
                                    <w:rPr>
                                      <w:rFonts w:ascii="Arial" w:eastAsia="Times New Roman" w:hAnsi="Arial" w:cs="Arial"/>
                                      <w:b/>
                                      <w:bCs/>
                                      <w:color w:val="757171"/>
                                      <w:sz w:val="20"/>
                                      <w:szCs w:val="20"/>
                                      <w:lang w:val="en-GB" w:eastAsia="en-GB"/>
                                    </w:rPr>
                                  </w:pPr>
                                  <w:r w:rsidRPr="0000457B">
                                    <w:rPr>
                                      <w:rFonts w:ascii="Arial" w:eastAsia="Times New Roman" w:hAnsi="Arial" w:cs="Arial"/>
                                      <w:b/>
                                      <w:bCs/>
                                      <w:color w:val="757171"/>
                                      <w:sz w:val="20"/>
                                      <w:szCs w:val="20"/>
                                      <w:lang w:val="en-GB" w:eastAsia="en-GB"/>
                                    </w:rPr>
                                    <w:t>15</w:t>
                                  </w:r>
                                </w:p>
                              </w:tc>
                              <w:tc>
                                <w:tcPr>
                                  <w:tcW w:w="1014" w:type="dxa"/>
                                  <w:tcBorders>
                                    <w:top w:val="single" w:sz="4" w:space="0" w:color="FFFFFF"/>
                                    <w:left w:val="single" w:sz="4" w:space="0" w:color="FFFFFF"/>
                                    <w:bottom w:val="single" w:sz="4" w:space="0" w:color="FFFFFF"/>
                                    <w:right w:val="single" w:sz="4" w:space="0" w:color="FFFFFF"/>
                                  </w:tcBorders>
                                  <w:shd w:val="clear" w:color="FFFFCC" w:fill="FFFFFF"/>
                                  <w:noWrap/>
                                  <w:vAlign w:val="bottom"/>
                                  <w:hideMark/>
                                </w:tcPr>
                                <w:p w14:paraId="39725631" w14:textId="77777777" w:rsidR="00D660E4" w:rsidRPr="0000457B" w:rsidRDefault="00D660E4" w:rsidP="0000457B">
                                  <w:pPr>
                                    <w:spacing w:after="0" w:line="240" w:lineRule="auto"/>
                                    <w:jc w:val="center"/>
                                    <w:rPr>
                                      <w:rFonts w:ascii="Arial" w:eastAsia="Times New Roman" w:hAnsi="Arial" w:cs="Arial"/>
                                      <w:b/>
                                      <w:bCs/>
                                      <w:color w:val="757171"/>
                                      <w:sz w:val="20"/>
                                      <w:szCs w:val="20"/>
                                      <w:lang w:val="en-GB" w:eastAsia="en-GB"/>
                                    </w:rPr>
                                  </w:pPr>
                                  <w:r w:rsidRPr="0000457B">
                                    <w:rPr>
                                      <w:rFonts w:ascii="Arial" w:eastAsia="Times New Roman" w:hAnsi="Arial" w:cs="Arial"/>
                                      <w:b/>
                                      <w:bCs/>
                                      <w:color w:val="757171"/>
                                      <w:sz w:val="20"/>
                                      <w:szCs w:val="20"/>
                                      <w:lang w:val="en-GB" w:eastAsia="en-GB"/>
                                    </w:rPr>
                                    <w:t>23%</w:t>
                                  </w:r>
                                </w:p>
                              </w:tc>
                            </w:tr>
                            <w:tr w:rsidR="00D660E4" w:rsidRPr="0000457B" w14:paraId="6FD6164D" w14:textId="77777777" w:rsidTr="0000457B">
                              <w:trPr>
                                <w:trHeight w:val="255"/>
                              </w:trPr>
                              <w:tc>
                                <w:tcPr>
                                  <w:tcW w:w="828" w:type="dxa"/>
                                  <w:tcBorders>
                                    <w:top w:val="single" w:sz="4" w:space="0" w:color="FFFFFF"/>
                                    <w:left w:val="single" w:sz="4" w:space="0" w:color="FFFFFF"/>
                                    <w:bottom w:val="single" w:sz="4" w:space="0" w:color="FFFFFF"/>
                                    <w:right w:val="single" w:sz="4" w:space="0" w:color="FFFFFF"/>
                                  </w:tcBorders>
                                  <w:shd w:val="clear" w:color="FFFFCC" w:fill="FFC267"/>
                                  <w:noWrap/>
                                  <w:vAlign w:val="bottom"/>
                                  <w:hideMark/>
                                </w:tcPr>
                                <w:p w14:paraId="1EA5DC85" w14:textId="77777777" w:rsidR="00D660E4" w:rsidRPr="0000457B" w:rsidRDefault="00D660E4" w:rsidP="0000457B">
                                  <w:pPr>
                                    <w:spacing w:after="0" w:line="240" w:lineRule="auto"/>
                                    <w:jc w:val="center"/>
                                    <w:rPr>
                                      <w:rFonts w:ascii="Arial" w:eastAsia="Times New Roman" w:hAnsi="Arial" w:cs="Arial"/>
                                      <w:b/>
                                      <w:bCs/>
                                      <w:color w:val="833C0C"/>
                                      <w:sz w:val="20"/>
                                      <w:szCs w:val="20"/>
                                      <w:lang w:val="en-GB" w:eastAsia="en-GB"/>
                                    </w:rPr>
                                  </w:pPr>
                                  <w:r w:rsidRPr="0000457B">
                                    <w:rPr>
                                      <w:rFonts w:ascii="Arial" w:eastAsia="Times New Roman" w:hAnsi="Arial" w:cs="Arial"/>
                                      <w:b/>
                                      <w:bCs/>
                                      <w:color w:val="833C0C"/>
                                      <w:sz w:val="20"/>
                                      <w:szCs w:val="20"/>
                                      <w:lang w:val="en-GB" w:eastAsia="en-GB"/>
                                    </w:rPr>
                                    <w:t>D</w:t>
                                  </w:r>
                                </w:p>
                              </w:tc>
                              <w:tc>
                                <w:tcPr>
                                  <w:tcW w:w="1272" w:type="dxa"/>
                                  <w:tcBorders>
                                    <w:top w:val="single" w:sz="4" w:space="0" w:color="FFFFFF"/>
                                    <w:left w:val="single" w:sz="4" w:space="0" w:color="FFFFFF"/>
                                    <w:bottom w:val="single" w:sz="4" w:space="0" w:color="FFFFFF"/>
                                    <w:right w:val="single" w:sz="4" w:space="0" w:color="FFFFFF"/>
                                  </w:tcBorders>
                                  <w:shd w:val="clear" w:color="FFFFCC" w:fill="FFFFFF"/>
                                  <w:noWrap/>
                                  <w:vAlign w:val="bottom"/>
                                  <w:hideMark/>
                                </w:tcPr>
                                <w:p w14:paraId="5C09A252" w14:textId="77777777" w:rsidR="00D660E4" w:rsidRPr="0000457B" w:rsidRDefault="00D660E4" w:rsidP="0000457B">
                                  <w:pPr>
                                    <w:spacing w:after="0" w:line="240" w:lineRule="auto"/>
                                    <w:jc w:val="center"/>
                                    <w:rPr>
                                      <w:rFonts w:ascii="Arial" w:eastAsia="Times New Roman" w:hAnsi="Arial" w:cs="Arial"/>
                                      <w:b/>
                                      <w:bCs/>
                                      <w:color w:val="757171"/>
                                      <w:sz w:val="20"/>
                                      <w:szCs w:val="20"/>
                                      <w:lang w:val="en-GB" w:eastAsia="en-GB"/>
                                    </w:rPr>
                                  </w:pPr>
                                  <w:r w:rsidRPr="0000457B">
                                    <w:rPr>
                                      <w:rFonts w:ascii="Arial" w:eastAsia="Times New Roman" w:hAnsi="Arial" w:cs="Arial"/>
                                      <w:b/>
                                      <w:bCs/>
                                      <w:color w:val="757171"/>
                                      <w:sz w:val="20"/>
                                      <w:szCs w:val="20"/>
                                      <w:lang w:val="en-GB" w:eastAsia="en-GB"/>
                                    </w:rPr>
                                    <w:t>7</w:t>
                                  </w:r>
                                </w:p>
                              </w:tc>
                              <w:tc>
                                <w:tcPr>
                                  <w:tcW w:w="1014" w:type="dxa"/>
                                  <w:tcBorders>
                                    <w:top w:val="single" w:sz="4" w:space="0" w:color="FFFFFF"/>
                                    <w:left w:val="single" w:sz="4" w:space="0" w:color="FFFFFF"/>
                                    <w:bottom w:val="single" w:sz="4" w:space="0" w:color="FFFFFF"/>
                                    <w:right w:val="single" w:sz="4" w:space="0" w:color="FFFFFF"/>
                                  </w:tcBorders>
                                  <w:shd w:val="clear" w:color="FFFFCC" w:fill="FFFFFF"/>
                                  <w:noWrap/>
                                  <w:vAlign w:val="bottom"/>
                                  <w:hideMark/>
                                </w:tcPr>
                                <w:p w14:paraId="78A512FB" w14:textId="77777777" w:rsidR="00D660E4" w:rsidRPr="0000457B" w:rsidRDefault="00D660E4" w:rsidP="0000457B">
                                  <w:pPr>
                                    <w:spacing w:after="0" w:line="240" w:lineRule="auto"/>
                                    <w:jc w:val="center"/>
                                    <w:rPr>
                                      <w:rFonts w:ascii="Arial" w:eastAsia="Times New Roman" w:hAnsi="Arial" w:cs="Arial"/>
                                      <w:b/>
                                      <w:bCs/>
                                      <w:color w:val="757171"/>
                                      <w:sz w:val="20"/>
                                      <w:szCs w:val="20"/>
                                      <w:lang w:val="en-GB" w:eastAsia="en-GB"/>
                                    </w:rPr>
                                  </w:pPr>
                                  <w:r w:rsidRPr="0000457B">
                                    <w:rPr>
                                      <w:rFonts w:ascii="Arial" w:eastAsia="Times New Roman" w:hAnsi="Arial" w:cs="Arial"/>
                                      <w:b/>
                                      <w:bCs/>
                                      <w:color w:val="757171"/>
                                      <w:sz w:val="20"/>
                                      <w:szCs w:val="20"/>
                                      <w:lang w:val="en-GB" w:eastAsia="en-GB"/>
                                    </w:rPr>
                                    <w:t>11%</w:t>
                                  </w:r>
                                </w:p>
                              </w:tc>
                            </w:tr>
                            <w:tr w:rsidR="00D660E4" w:rsidRPr="0000457B" w14:paraId="08364C7E" w14:textId="77777777" w:rsidTr="0000457B">
                              <w:trPr>
                                <w:trHeight w:val="255"/>
                              </w:trPr>
                              <w:tc>
                                <w:tcPr>
                                  <w:tcW w:w="828" w:type="dxa"/>
                                  <w:tcBorders>
                                    <w:top w:val="single" w:sz="4" w:space="0" w:color="FFFFFF"/>
                                    <w:left w:val="single" w:sz="4" w:space="0" w:color="FFFFFF"/>
                                    <w:bottom w:val="single" w:sz="4" w:space="0" w:color="FFFFFF"/>
                                    <w:right w:val="single" w:sz="4" w:space="0" w:color="FFFFFF"/>
                                  </w:tcBorders>
                                  <w:shd w:val="clear" w:color="FFFFCC" w:fill="FE7966"/>
                                  <w:noWrap/>
                                  <w:vAlign w:val="bottom"/>
                                  <w:hideMark/>
                                </w:tcPr>
                                <w:p w14:paraId="03227034" w14:textId="77777777" w:rsidR="00D660E4" w:rsidRPr="0000457B" w:rsidRDefault="00D660E4" w:rsidP="0000457B">
                                  <w:pPr>
                                    <w:spacing w:after="0" w:line="240" w:lineRule="auto"/>
                                    <w:jc w:val="center"/>
                                    <w:rPr>
                                      <w:rFonts w:ascii="Arial" w:eastAsia="Times New Roman" w:hAnsi="Arial" w:cs="Arial"/>
                                      <w:b/>
                                      <w:bCs/>
                                      <w:color w:val="161616"/>
                                      <w:sz w:val="20"/>
                                      <w:szCs w:val="20"/>
                                      <w:lang w:val="en-GB" w:eastAsia="en-GB"/>
                                    </w:rPr>
                                  </w:pPr>
                                  <w:r w:rsidRPr="0000457B">
                                    <w:rPr>
                                      <w:rFonts w:ascii="Arial" w:eastAsia="Times New Roman" w:hAnsi="Arial" w:cs="Arial"/>
                                      <w:b/>
                                      <w:bCs/>
                                      <w:color w:val="161616"/>
                                      <w:sz w:val="20"/>
                                      <w:szCs w:val="20"/>
                                      <w:lang w:val="en-GB" w:eastAsia="en-GB"/>
                                    </w:rPr>
                                    <w:t>E</w:t>
                                  </w:r>
                                </w:p>
                              </w:tc>
                              <w:tc>
                                <w:tcPr>
                                  <w:tcW w:w="1272" w:type="dxa"/>
                                  <w:tcBorders>
                                    <w:top w:val="single" w:sz="4" w:space="0" w:color="FFFFFF"/>
                                    <w:left w:val="single" w:sz="4" w:space="0" w:color="FFFFFF"/>
                                    <w:bottom w:val="single" w:sz="4" w:space="0" w:color="FFFFFF"/>
                                    <w:right w:val="single" w:sz="4" w:space="0" w:color="FFFFFF"/>
                                  </w:tcBorders>
                                  <w:shd w:val="clear" w:color="FFFFCC" w:fill="FFFFFF"/>
                                  <w:noWrap/>
                                  <w:vAlign w:val="bottom"/>
                                  <w:hideMark/>
                                </w:tcPr>
                                <w:p w14:paraId="5B37217A" w14:textId="77777777" w:rsidR="00D660E4" w:rsidRPr="0000457B" w:rsidRDefault="00D660E4" w:rsidP="0000457B">
                                  <w:pPr>
                                    <w:spacing w:after="0" w:line="240" w:lineRule="auto"/>
                                    <w:jc w:val="center"/>
                                    <w:rPr>
                                      <w:rFonts w:ascii="Arial" w:eastAsia="Times New Roman" w:hAnsi="Arial" w:cs="Arial"/>
                                      <w:b/>
                                      <w:bCs/>
                                      <w:color w:val="757171"/>
                                      <w:sz w:val="20"/>
                                      <w:szCs w:val="20"/>
                                      <w:lang w:val="en-GB" w:eastAsia="en-GB"/>
                                    </w:rPr>
                                  </w:pPr>
                                  <w:r w:rsidRPr="0000457B">
                                    <w:rPr>
                                      <w:rFonts w:ascii="Arial" w:eastAsia="Times New Roman" w:hAnsi="Arial" w:cs="Arial"/>
                                      <w:b/>
                                      <w:bCs/>
                                      <w:color w:val="757171"/>
                                      <w:sz w:val="20"/>
                                      <w:szCs w:val="20"/>
                                      <w:lang w:val="en-GB" w:eastAsia="en-GB"/>
                                    </w:rPr>
                                    <w:t>13</w:t>
                                  </w:r>
                                </w:p>
                              </w:tc>
                              <w:tc>
                                <w:tcPr>
                                  <w:tcW w:w="1014" w:type="dxa"/>
                                  <w:tcBorders>
                                    <w:top w:val="single" w:sz="4" w:space="0" w:color="FFFFFF"/>
                                    <w:left w:val="single" w:sz="4" w:space="0" w:color="FFFFFF"/>
                                    <w:bottom w:val="single" w:sz="4" w:space="0" w:color="FFFFFF"/>
                                    <w:right w:val="single" w:sz="4" w:space="0" w:color="FFFFFF"/>
                                  </w:tcBorders>
                                  <w:shd w:val="clear" w:color="FFFFCC" w:fill="FFFFFF"/>
                                  <w:noWrap/>
                                  <w:vAlign w:val="bottom"/>
                                  <w:hideMark/>
                                </w:tcPr>
                                <w:p w14:paraId="6D0C3410" w14:textId="77777777" w:rsidR="00D660E4" w:rsidRPr="0000457B" w:rsidRDefault="00D660E4" w:rsidP="0000457B">
                                  <w:pPr>
                                    <w:spacing w:after="0" w:line="240" w:lineRule="auto"/>
                                    <w:jc w:val="center"/>
                                    <w:rPr>
                                      <w:rFonts w:ascii="Arial" w:eastAsia="Times New Roman" w:hAnsi="Arial" w:cs="Arial"/>
                                      <w:b/>
                                      <w:bCs/>
                                      <w:color w:val="757171"/>
                                      <w:sz w:val="20"/>
                                      <w:szCs w:val="20"/>
                                      <w:lang w:val="en-GB" w:eastAsia="en-GB"/>
                                    </w:rPr>
                                  </w:pPr>
                                  <w:r w:rsidRPr="0000457B">
                                    <w:rPr>
                                      <w:rFonts w:ascii="Arial" w:eastAsia="Times New Roman" w:hAnsi="Arial" w:cs="Arial"/>
                                      <w:b/>
                                      <w:bCs/>
                                      <w:color w:val="757171"/>
                                      <w:sz w:val="20"/>
                                      <w:szCs w:val="20"/>
                                      <w:lang w:val="en-GB" w:eastAsia="en-GB"/>
                                    </w:rPr>
                                    <w:t>20%</w:t>
                                  </w:r>
                                </w:p>
                              </w:tc>
                            </w:tr>
                            <w:tr w:rsidR="00D660E4" w:rsidRPr="0000457B" w14:paraId="29AA1B24" w14:textId="77777777" w:rsidTr="0000457B">
                              <w:trPr>
                                <w:trHeight w:val="255"/>
                              </w:trPr>
                              <w:tc>
                                <w:tcPr>
                                  <w:tcW w:w="828" w:type="dxa"/>
                                  <w:tcBorders>
                                    <w:top w:val="single" w:sz="4" w:space="0" w:color="757171"/>
                                    <w:left w:val="single" w:sz="4" w:space="0" w:color="757171"/>
                                    <w:bottom w:val="single" w:sz="4" w:space="0" w:color="757171"/>
                                    <w:right w:val="single" w:sz="4" w:space="0" w:color="FFFFFF"/>
                                  </w:tcBorders>
                                  <w:shd w:val="clear" w:color="FFFFCC" w:fill="FFFFFF"/>
                                  <w:noWrap/>
                                  <w:vAlign w:val="bottom"/>
                                  <w:hideMark/>
                                </w:tcPr>
                                <w:p w14:paraId="262128DC" w14:textId="77777777" w:rsidR="00D660E4" w:rsidRPr="0000457B" w:rsidRDefault="00D660E4" w:rsidP="0000457B">
                                  <w:pPr>
                                    <w:spacing w:after="0" w:line="240" w:lineRule="auto"/>
                                    <w:jc w:val="center"/>
                                    <w:rPr>
                                      <w:rFonts w:ascii="Arial" w:eastAsia="Times New Roman" w:hAnsi="Arial" w:cs="Arial"/>
                                      <w:b/>
                                      <w:bCs/>
                                      <w:color w:val="000000"/>
                                      <w:sz w:val="20"/>
                                      <w:szCs w:val="20"/>
                                      <w:lang w:val="en-GB" w:eastAsia="en-GB"/>
                                    </w:rPr>
                                  </w:pPr>
                                  <w:r w:rsidRPr="0000457B">
                                    <w:rPr>
                                      <w:rFonts w:ascii="Arial" w:eastAsia="Times New Roman" w:hAnsi="Arial" w:cs="Arial"/>
                                      <w:b/>
                                      <w:bCs/>
                                      <w:color w:val="000000"/>
                                      <w:sz w:val="20"/>
                                      <w:szCs w:val="20"/>
                                      <w:lang w:val="en-GB" w:eastAsia="en-GB"/>
                                    </w:rPr>
                                    <w:t>Total</w:t>
                                  </w:r>
                                </w:p>
                              </w:tc>
                              <w:tc>
                                <w:tcPr>
                                  <w:tcW w:w="1272" w:type="dxa"/>
                                  <w:tcBorders>
                                    <w:top w:val="single" w:sz="4" w:space="0" w:color="757171"/>
                                    <w:left w:val="single" w:sz="4" w:space="0" w:color="FFFFFF"/>
                                    <w:bottom w:val="single" w:sz="4" w:space="0" w:color="757171"/>
                                    <w:right w:val="single" w:sz="4" w:space="0" w:color="FFFFFF"/>
                                  </w:tcBorders>
                                  <w:shd w:val="clear" w:color="FFFFCC" w:fill="FFFFFF"/>
                                  <w:noWrap/>
                                  <w:vAlign w:val="bottom"/>
                                  <w:hideMark/>
                                </w:tcPr>
                                <w:p w14:paraId="61294468" w14:textId="77777777" w:rsidR="00D660E4" w:rsidRPr="0000457B" w:rsidRDefault="00D660E4" w:rsidP="0000457B">
                                  <w:pPr>
                                    <w:spacing w:after="0" w:line="240" w:lineRule="auto"/>
                                    <w:jc w:val="center"/>
                                    <w:rPr>
                                      <w:rFonts w:ascii="Arial" w:eastAsia="Times New Roman" w:hAnsi="Arial" w:cs="Arial"/>
                                      <w:b/>
                                      <w:bCs/>
                                      <w:color w:val="000000"/>
                                      <w:sz w:val="20"/>
                                      <w:szCs w:val="20"/>
                                      <w:lang w:val="en-GB" w:eastAsia="en-GB"/>
                                    </w:rPr>
                                  </w:pPr>
                                  <w:r w:rsidRPr="0000457B">
                                    <w:rPr>
                                      <w:rFonts w:ascii="Arial" w:eastAsia="Times New Roman" w:hAnsi="Arial" w:cs="Arial"/>
                                      <w:b/>
                                      <w:bCs/>
                                      <w:color w:val="000000"/>
                                      <w:sz w:val="20"/>
                                      <w:szCs w:val="20"/>
                                      <w:lang w:val="en-GB" w:eastAsia="en-GB"/>
                                    </w:rPr>
                                    <w:t>66</w:t>
                                  </w:r>
                                </w:p>
                              </w:tc>
                              <w:tc>
                                <w:tcPr>
                                  <w:tcW w:w="1014" w:type="dxa"/>
                                  <w:tcBorders>
                                    <w:top w:val="single" w:sz="4" w:space="0" w:color="757171"/>
                                    <w:left w:val="single" w:sz="4" w:space="0" w:color="FFFFFF"/>
                                    <w:bottom w:val="single" w:sz="4" w:space="0" w:color="757171"/>
                                    <w:right w:val="single" w:sz="4" w:space="0" w:color="757171"/>
                                  </w:tcBorders>
                                  <w:shd w:val="clear" w:color="FFFFCC" w:fill="FFFFFF"/>
                                  <w:noWrap/>
                                  <w:vAlign w:val="bottom"/>
                                  <w:hideMark/>
                                </w:tcPr>
                                <w:p w14:paraId="07322460" w14:textId="77777777" w:rsidR="00D660E4" w:rsidRPr="0000457B" w:rsidRDefault="00D660E4" w:rsidP="0000457B">
                                  <w:pPr>
                                    <w:spacing w:after="0" w:line="240" w:lineRule="auto"/>
                                    <w:jc w:val="center"/>
                                    <w:rPr>
                                      <w:rFonts w:ascii="Arial" w:eastAsia="Times New Roman" w:hAnsi="Arial" w:cs="Arial"/>
                                      <w:b/>
                                      <w:bCs/>
                                      <w:color w:val="000000"/>
                                      <w:sz w:val="20"/>
                                      <w:szCs w:val="20"/>
                                      <w:lang w:val="en-GB" w:eastAsia="en-GB"/>
                                    </w:rPr>
                                  </w:pPr>
                                  <w:r w:rsidRPr="0000457B">
                                    <w:rPr>
                                      <w:rFonts w:ascii="Arial" w:eastAsia="Times New Roman" w:hAnsi="Arial" w:cs="Arial"/>
                                      <w:b/>
                                      <w:bCs/>
                                      <w:color w:val="000000"/>
                                      <w:sz w:val="20"/>
                                      <w:szCs w:val="20"/>
                                      <w:lang w:val="en-GB" w:eastAsia="en-GB"/>
                                    </w:rPr>
                                    <w:t>100%</w:t>
                                  </w:r>
                                </w:p>
                              </w:tc>
                            </w:tr>
                          </w:tbl>
                          <w:p w14:paraId="6CD34D3D" w14:textId="7D3BD4BD" w:rsidR="00D660E4" w:rsidRDefault="00D660E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3869B0" id="Text Box 2" o:spid="_x0000_s1027" type="#_x0000_t202" style="position:absolute;left:0;text-align:left;margin-left:209.25pt;margin-top:3.65pt;width:179.25pt;height:110.25pt;z-index:251844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" stroked="f">
                <v:textbox>
                  <w:txbxContent>
                    <w:tbl>
                      <w:tblPr>
                        <w:tblW w:w="3114" w:type="dxa"/>
                        <w:tblLook w:val="04A0" w:firstRow="1" w:lastRow="0" w:firstColumn="1" w:lastColumn="0" w:noHBand="0" w:noVBand="1"/>
                      </w:tblPr>
                      <w:tblGrid>
                        <w:gridCol w:w="828"/>
                        <w:gridCol w:w="1272"/>
                        <w:gridCol w:w="1272"/>
                      </w:tblGrid>
                      <w:tr w:rsidR="00D660E4" w:rsidRPr="0000457B" w14:paraId="168D2DA9" w14:textId="77777777" w:rsidTr="0000457B">
                        <w:trPr>
                          <w:trHeight w:val="255"/>
                        </w:trPr>
                        <w:tc>
                          <w:tcPr>
                            <w:tcW w:w="828" w:type="dxa"/>
                            <w:tcBorders>
                              <w:top w:val="single" w:sz="4" w:space="0" w:color="757171"/>
                              <w:left w:val="single" w:sz="4" w:space="0" w:color="757171"/>
                              <w:bottom w:val="single" w:sz="4" w:space="0" w:color="757171"/>
                              <w:right w:val="single" w:sz="4" w:space="0" w:color="FFFFFF"/>
                            </w:tcBorders>
                            <w:shd w:val="clear" w:color="FFFFCC" w:fill="FFFFFF"/>
                            <w:noWrap/>
                            <w:vAlign w:val="bottom"/>
                            <w:hideMark/>
                          </w:tcPr>
                          <w:p w14:paraId="7B5D4DF1" w14:textId="77777777" w:rsidR="00D660E4" w:rsidRPr="0000457B" w:rsidRDefault="00D660E4" w:rsidP="0000457B">
                            <w:pPr>
                              <w:spacing w:after="0" w:line="240" w:lineRule="auto"/>
                              <w:jc w:val="center"/>
                              <w:rPr>
                                <w:rFonts w:ascii="Arial" w:eastAsia="Times New Roman" w:hAnsi="Arial" w:cs="Arial"/>
                                <w:b/>
                                <w:bCs/>
                                <w:color w:val="000000"/>
                                <w:sz w:val="20"/>
                                <w:szCs w:val="20"/>
                                <w:lang w:val="en-GB" w:eastAsia="en-GB"/>
                              </w:rPr>
                            </w:pPr>
                            <w:r w:rsidRPr="0000457B">
                              <w:rPr>
                                <w:rFonts w:ascii="Arial" w:eastAsia="Times New Roman" w:hAnsi="Arial" w:cs="Arial"/>
                                <w:b/>
                                <w:bCs/>
                                <w:color w:val="000000"/>
                                <w:sz w:val="20"/>
                                <w:szCs w:val="20"/>
                                <w:lang w:val="en-GB" w:eastAsia="en-GB"/>
                              </w:rPr>
                              <w:t>S167 Status</w:t>
                            </w:r>
                          </w:p>
                        </w:tc>
                        <w:tc>
                          <w:tcPr>
                            <w:tcW w:w="1272" w:type="dxa"/>
                            <w:tcBorders>
                              <w:top w:val="single" w:sz="4" w:space="0" w:color="757171"/>
                              <w:left w:val="single" w:sz="4" w:space="0" w:color="FFFFFF"/>
                              <w:bottom w:val="single" w:sz="4" w:space="0" w:color="757171"/>
                              <w:right w:val="single" w:sz="4" w:space="0" w:color="FFFFFF"/>
                            </w:tcBorders>
                            <w:shd w:val="clear" w:color="FFFFCC" w:fill="FFFFFF"/>
                            <w:noWrap/>
                            <w:vAlign w:val="bottom"/>
                            <w:hideMark/>
                          </w:tcPr>
                          <w:p w14:paraId="45841D59" w14:textId="77777777" w:rsidR="00D660E4" w:rsidRPr="0000457B" w:rsidRDefault="00D660E4" w:rsidP="0000457B">
                            <w:pPr>
                              <w:spacing w:after="0" w:line="240" w:lineRule="auto"/>
                              <w:jc w:val="center"/>
                              <w:rPr>
                                <w:rFonts w:ascii="Arial" w:eastAsia="Times New Roman" w:hAnsi="Arial" w:cs="Arial"/>
                                <w:b/>
                                <w:bCs/>
                                <w:color w:val="000000"/>
                                <w:sz w:val="20"/>
                                <w:szCs w:val="20"/>
                                <w:lang w:val="en-GB" w:eastAsia="en-GB"/>
                              </w:rPr>
                            </w:pPr>
                            <w:r w:rsidRPr="0000457B">
                              <w:rPr>
                                <w:rFonts w:ascii="Arial" w:eastAsia="Times New Roman" w:hAnsi="Arial" w:cs="Arial"/>
                                <w:b/>
                                <w:bCs/>
                                <w:color w:val="000000"/>
                                <w:sz w:val="20"/>
                                <w:szCs w:val="20"/>
                                <w:lang w:val="en-GB" w:eastAsia="en-GB"/>
                              </w:rPr>
                              <w:t># Authorities</w:t>
                            </w:r>
                          </w:p>
                        </w:tc>
                        <w:tc>
                          <w:tcPr>
                            <w:tcW w:w="1014" w:type="dxa"/>
                            <w:tcBorders>
                              <w:top w:val="single" w:sz="4" w:space="0" w:color="757171"/>
                              <w:left w:val="single" w:sz="4" w:space="0" w:color="FFFFFF"/>
                              <w:bottom w:val="single" w:sz="4" w:space="0" w:color="757171"/>
                              <w:right w:val="single" w:sz="4" w:space="0" w:color="757171"/>
                            </w:tcBorders>
                            <w:shd w:val="clear" w:color="FFFFCC" w:fill="FFFFFF"/>
                            <w:noWrap/>
                            <w:vAlign w:val="bottom"/>
                            <w:hideMark/>
                          </w:tcPr>
                          <w:p w14:paraId="7866B07A" w14:textId="77777777" w:rsidR="00D660E4" w:rsidRPr="0000457B" w:rsidRDefault="00D660E4" w:rsidP="0000457B">
                            <w:pPr>
                              <w:spacing w:after="0" w:line="240" w:lineRule="auto"/>
                              <w:jc w:val="center"/>
                              <w:rPr>
                                <w:rFonts w:ascii="Arial" w:eastAsia="Times New Roman" w:hAnsi="Arial" w:cs="Arial"/>
                                <w:b/>
                                <w:bCs/>
                                <w:color w:val="000000"/>
                                <w:sz w:val="20"/>
                                <w:szCs w:val="20"/>
                                <w:lang w:val="en-GB" w:eastAsia="en-GB"/>
                              </w:rPr>
                            </w:pPr>
                            <w:r w:rsidRPr="0000457B">
                              <w:rPr>
                                <w:rFonts w:ascii="Arial" w:eastAsia="Times New Roman" w:hAnsi="Arial" w:cs="Arial"/>
                                <w:b/>
                                <w:bCs/>
                                <w:color w:val="000000"/>
                                <w:sz w:val="20"/>
                                <w:szCs w:val="20"/>
                                <w:lang w:val="en-GB" w:eastAsia="en-GB"/>
                              </w:rPr>
                              <w:t>% Authorities</w:t>
                            </w:r>
                          </w:p>
                        </w:tc>
                      </w:tr>
                      <w:tr w:rsidR="00D660E4" w:rsidRPr="0000457B" w14:paraId="049C0200" w14:textId="77777777" w:rsidTr="0000457B">
                        <w:trPr>
                          <w:trHeight w:val="255"/>
                        </w:trPr>
                        <w:tc>
                          <w:tcPr>
                            <w:tcW w:w="828" w:type="dxa"/>
                            <w:tcBorders>
                              <w:top w:val="single" w:sz="4" w:space="0" w:color="FFFFFF"/>
                              <w:left w:val="single" w:sz="4" w:space="0" w:color="FFFFFF"/>
                              <w:bottom w:val="single" w:sz="4" w:space="0" w:color="FFFFFF"/>
                              <w:right w:val="single" w:sz="4" w:space="0" w:color="FFFFFF"/>
                            </w:tcBorders>
                            <w:shd w:val="clear" w:color="FFFFCC" w:fill="B0CC66"/>
                            <w:noWrap/>
                            <w:vAlign w:val="bottom"/>
                            <w:hideMark/>
                          </w:tcPr>
                          <w:p w14:paraId="411D7141" w14:textId="77777777" w:rsidR="00D660E4" w:rsidRPr="0000457B" w:rsidRDefault="00D660E4" w:rsidP="0000457B">
                            <w:pPr>
                              <w:spacing w:after="0" w:line="240" w:lineRule="auto"/>
                              <w:jc w:val="center"/>
                              <w:rPr>
                                <w:rFonts w:ascii="Arial" w:eastAsia="Times New Roman" w:hAnsi="Arial" w:cs="Arial"/>
                                <w:b/>
                                <w:bCs/>
                                <w:color w:val="375623"/>
                                <w:sz w:val="20"/>
                                <w:szCs w:val="20"/>
                                <w:lang w:val="en-GB" w:eastAsia="en-GB"/>
                              </w:rPr>
                            </w:pPr>
                            <w:r w:rsidRPr="0000457B">
                              <w:rPr>
                                <w:rFonts w:ascii="Arial" w:eastAsia="Times New Roman" w:hAnsi="Arial" w:cs="Arial"/>
                                <w:b/>
                                <w:bCs/>
                                <w:color w:val="375623"/>
                                <w:sz w:val="20"/>
                                <w:szCs w:val="20"/>
                                <w:lang w:val="en-GB" w:eastAsia="en-GB"/>
                              </w:rPr>
                              <w:t>A</w:t>
                            </w:r>
                          </w:p>
                        </w:tc>
                        <w:tc>
                          <w:tcPr>
                            <w:tcW w:w="1272" w:type="dxa"/>
                            <w:tcBorders>
                              <w:top w:val="single" w:sz="4" w:space="0" w:color="FFFFFF"/>
                              <w:left w:val="single" w:sz="4" w:space="0" w:color="FFFFFF"/>
                              <w:bottom w:val="single" w:sz="4" w:space="0" w:color="FFFFFF"/>
                              <w:right w:val="single" w:sz="4" w:space="0" w:color="FFFFFF"/>
                            </w:tcBorders>
                            <w:shd w:val="clear" w:color="FFFFCC" w:fill="FFFFFF"/>
                            <w:noWrap/>
                            <w:vAlign w:val="bottom"/>
                            <w:hideMark/>
                          </w:tcPr>
                          <w:p w14:paraId="218EA1AF" w14:textId="77777777" w:rsidR="00D660E4" w:rsidRPr="0000457B" w:rsidRDefault="00D660E4" w:rsidP="0000457B">
                            <w:pPr>
                              <w:spacing w:after="0" w:line="240" w:lineRule="auto"/>
                              <w:jc w:val="center"/>
                              <w:rPr>
                                <w:rFonts w:ascii="Arial" w:eastAsia="Times New Roman" w:hAnsi="Arial" w:cs="Arial"/>
                                <w:b/>
                                <w:bCs/>
                                <w:color w:val="757171"/>
                                <w:sz w:val="20"/>
                                <w:szCs w:val="20"/>
                                <w:lang w:val="en-GB" w:eastAsia="en-GB"/>
                              </w:rPr>
                            </w:pPr>
                            <w:r w:rsidRPr="0000457B">
                              <w:rPr>
                                <w:rFonts w:ascii="Arial" w:eastAsia="Times New Roman" w:hAnsi="Arial" w:cs="Arial"/>
                                <w:b/>
                                <w:bCs/>
                                <w:color w:val="757171"/>
                                <w:sz w:val="20"/>
                                <w:szCs w:val="20"/>
                                <w:lang w:val="en-GB" w:eastAsia="en-GB"/>
                              </w:rPr>
                              <w:t>18</w:t>
                            </w:r>
                          </w:p>
                        </w:tc>
                        <w:tc>
                          <w:tcPr>
                            <w:tcW w:w="1014" w:type="dxa"/>
                            <w:tcBorders>
                              <w:top w:val="single" w:sz="4" w:space="0" w:color="FFFFFF"/>
                              <w:left w:val="single" w:sz="4" w:space="0" w:color="FFFFFF"/>
                              <w:bottom w:val="single" w:sz="4" w:space="0" w:color="FFFFFF"/>
                              <w:right w:val="single" w:sz="4" w:space="0" w:color="FFFFFF"/>
                            </w:tcBorders>
                            <w:shd w:val="clear" w:color="FFFFCC" w:fill="FFFFFF"/>
                            <w:noWrap/>
                            <w:vAlign w:val="bottom"/>
                            <w:hideMark/>
                          </w:tcPr>
                          <w:p w14:paraId="77DD6C98" w14:textId="77777777" w:rsidR="00D660E4" w:rsidRPr="0000457B" w:rsidRDefault="00D660E4" w:rsidP="0000457B">
                            <w:pPr>
                              <w:spacing w:after="0" w:line="240" w:lineRule="auto"/>
                              <w:jc w:val="center"/>
                              <w:rPr>
                                <w:rFonts w:ascii="Arial" w:eastAsia="Times New Roman" w:hAnsi="Arial" w:cs="Arial"/>
                                <w:b/>
                                <w:bCs/>
                                <w:color w:val="757171"/>
                                <w:sz w:val="20"/>
                                <w:szCs w:val="20"/>
                                <w:lang w:val="en-GB" w:eastAsia="en-GB"/>
                              </w:rPr>
                            </w:pPr>
                            <w:r w:rsidRPr="0000457B">
                              <w:rPr>
                                <w:rFonts w:ascii="Arial" w:eastAsia="Times New Roman" w:hAnsi="Arial" w:cs="Arial"/>
                                <w:b/>
                                <w:bCs/>
                                <w:color w:val="757171"/>
                                <w:sz w:val="20"/>
                                <w:szCs w:val="20"/>
                                <w:lang w:val="en-GB" w:eastAsia="en-GB"/>
                              </w:rPr>
                              <w:t>27%</w:t>
                            </w:r>
                          </w:p>
                        </w:tc>
                      </w:tr>
                      <w:tr w:rsidR="00D660E4" w:rsidRPr="0000457B" w14:paraId="6EA95199" w14:textId="77777777" w:rsidTr="0000457B">
                        <w:trPr>
                          <w:trHeight w:val="255"/>
                        </w:trPr>
                        <w:tc>
                          <w:tcPr>
                            <w:tcW w:w="828" w:type="dxa"/>
                            <w:tcBorders>
                              <w:top w:val="single" w:sz="4" w:space="0" w:color="FFFFFF"/>
                              <w:left w:val="single" w:sz="4" w:space="0" w:color="FFFFFF"/>
                              <w:bottom w:val="single" w:sz="4" w:space="0" w:color="FFFFFF"/>
                              <w:right w:val="single" w:sz="4" w:space="0" w:color="FFFFFF"/>
                            </w:tcBorders>
                            <w:shd w:val="clear" w:color="FFFFCC" w:fill="C1FFC1"/>
                            <w:noWrap/>
                            <w:vAlign w:val="bottom"/>
                            <w:hideMark/>
                          </w:tcPr>
                          <w:p w14:paraId="70057A5C" w14:textId="77777777" w:rsidR="00D660E4" w:rsidRPr="0000457B" w:rsidRDefault="00D660E4" w:rsidP="0000457B">
                            <w:pPr>
                              <w:spacing w:after="0" w:line="240" w:lineRule="auto"/>
                              <w:jc w:val="center"/>
                              <w:rPr>
                                <w:rFonts w:ascii="Arial" w:eastAsia="Times New Roman" w:hAnsi="Arial" w:cs="Arial"/>
                                <w:b/>
                                <w:bCs/>
                                <w:color w:val="375623"/>
                                <w:sz w:val="20"/>
                                <w:szCs w:val="20"/>
                                <w:lang w:val="en-GB" w:eastAsia="en-GB"/>
                              </w:rPr>
                            </w:pPr>
                            <w:r w:rsidRPr="0000457B">
                              <w:rPr>
                                <w:rFonts w:ascii="Arial" w:eastAsia="Times New Roman" w:hAnsi="Arial" w:cs="Arial"/>
                                <w:b/>
                                <w:bCs/>
                                <w:color w:val="375623"/>
                                <w:sz w:val="20"/>
                                <w:szCs w:val="20"/>
                                <w:lang w:val="en-GB" w:eastAsia="en-GB"/>
                              </w:rPr>
                              <w:t>B</w:t>
                            </w:r>
                          </w:p>
                        </w:tc>
                        <w:tc>
                          <w:tcPr>
                            <w:tcW w:w="1272" w:type="dxa"/>
                            <w:tcBorders>
                              <w:top w:val="single" w:sz="4" w:space="0" w:color="FFFFFF"/>
                              <w:left w:val="single" w:sz="4" w:space="0" w:color="FFFFFF"/>
                              <w:bottom w:val="single" w:sz="4" w:space="0" w:color="FFFFFF"/>
                              <w:right w:val="single" w:sz="4" w:space="0" w:color="FFFFFF"/>
                            </w:tcBorders>
                            <w:shd w:val="clear" w:color="FFFFCC" w:fill="FFFFFF"/>
                            <w:noWrap/>
                            <w:vAlign w:val="bottom"/>
                            <w:hideMark/>
                          </w:tcPr>
                          <w:p w14:paraId="1D341CC0" w14:textId="77777777" w:rsidR="00D660E4" w:rsidRPr="0000457B" w:rsidRDefault="00D660E4" w:rsidP="0000457B">
                            <w:pPr>
                              <w:spacing w:after="0" w:line="240" w:lineRule="auto"/>
                              <w:jc w:val="center"/>
                              <w:rPr>
                                <w:rFonts w:ascii="Arial" w:eastAsia="Times New Roman" w:hAnsi="Arial" w:cs="Arial"/>
                                <w:b/>
                                <w:bCs/>
                                <w:color w:val="757171"/>
                                <w:sz w:val="20"/>
                                <w:szCs w:val="20"/>
                                <w:lang w:val="en-GB" w:eastAsia="en-GB"/>
                              </w:rPr>
                            </w:pPr>
                            <w:r w:rsidRPr="0000457B">
                              <w:rPr>
                                <w:rFonts w:ascii="Arial" w:eastAsia="Times New Roman" w:hAnsi="Arial" w:cs="Arial"/>
                                <w:b/>
                                <w:bCs/>
                                <w:color w:val="757171"/>
                                <w:sz w:val="20"/>
                                <w:szCs w:val="20"/>
                                <w:lang w:val="en-GB" w:eastAsia="en-GB"/>
                              </w:rPr>
                              <w:t>13</w:t>
                            </w:r>
                          </w:p>
                        </w:tc>
                        <w:tc>
                          <w:tcPr>
                            <w:tcW w:w="1014" w:type="dxa"/>
                            <w:tcBorders>
                              <w:top w:val="single" w:sz="4" w:space="0" w:color="FFFFFF"/>
                              <w:left w:val="single" w:sz="4" w:space="0" w:color="FFFFFF"/>
                              <w:bottom w:val="single" w:sz="4" w:space="0" w:color="FFFFFF"/>
                              <w:right w:val="single" w:sz="4" w:space="0" w:color="FFFFFF"/>
                            </w:tcBorders>
                            <w:shd w:val="clear" w:color="FFFFCC" w:fill="FFFFFF"/>
                            <w:noWrap/>
                            <w:vAlign w:val="bottom"/>
                            <w:hideMark/>
                          </w:tcPr>
                          <w:p w14:paraId="733FB901" w14:textId="77777777" w:rsidR="00D660E4" w:rsidRPr="0000457B" w:rsidRDefault="00D660E4" w:rsidP="0000457B">
                            <w:pPr>
                              <w:spacing w:after="0" w:line="240" w:lineRule="auto"/>
                              <w:jc w:val="center"/>
                              <w:rPr>
                                <w:rFonts w:ascii="Arial" w:eastAsia="Times New Roman" w:hAnsi="Arial" w:cs="Arial"/>
                                <w:b/>
                                <w:bCs/>
                                <w:color w:val="757171"/>
                                <w:sz w:val="20"/>
                                <w:szCs w:val="20"/>
                                <w:lang w:val="en-GB" w:eastAsia="en-GB"/>
                              </w:rPr>
                            </w:pPr>
                            <w:r w:rsidRPr="0000457B">
                              <w:rPr>
                                <w:rFonts w:ascii="Arial" w:eastAsia="Times New Roman" w:hAnsi="Arial" w:cs="Arial"/>
                                <w:b/>
                                <w:bCs/>
                                <w:color w:val="757171"/>
                                <w:sz w:val="20"/>
                                <w:szCs w:val="20"/>
                                <w:lang w:val="en-GB" w:eastAsia="en-GB"/>
                              </w:rPr>
                              <w:t>20%</w:t>
                            </w:r>
                          </w:p>
                        </w:tc>
                      </w:tr>
                      <w:tr w:rsidR="00D660E4" w:rsidRPr="0000457B" w14:paraId="72616D2A" w14:textId="77777777" w:rsidTr="0000457B">
                        <w:trPr>
                          <w:trHeight w:val="255"/>
                        </w:trPr>
                        <w:tc>
                          <w:tcPr>
                            <w:tcW w:w="828" w:type="dxa"/>
                            <w:tcBorders>
                              <w:top w:val="single" w:sz="4" w:space="0" w:color="FFFFFF"/>
                              <w:left w:val="single" w:sz="4" w:space="0" w:color="FFFFFF"/>
                              <w:bottom w:val="single" w:sz="4" w:space="0" w:color="FFFFFF"/>
                              <w:right w:val="single" w:sz="4" w:space="0" w:color="FFFFFF"/>
                            </w:tcBorders>
                            <w:shd w:val="clear" w:color="FFFFCC" w:fill="FFFF66"/>
                            <w:noWrap/>
                            <w:vAlign w:val="bottom"/>
                            <w:hideMark/>
                          </w:tcPr>
                          <w:p w14:paraId="70AC4CB2" w14:textId="77777777" w:rsidR="00D660E4" w:rsidRPr="0000457B" w:rsidRDefault="00D660E4" w:rsidP="0000457B">
                            <w:pPr>
                              <w:spacing w:after="0" w:line="240" w:lineRule="auto"/>
                              <w:jc w:val="center"/>
                              <w:rPr>
                                <w:rFonts w:ascii="Arial" w:eastAsia="Times New Roman" w:hAnsi="Arial" w:cs="Arial"/>
                                <w:b/>
                                <w:bCs/>
                                <w:color w:val="806000"/>
                                <w:sz w:val="20"/>
                                <w:szCs w:val="20"/>
                                <w:lang w:val="en-GB" w:eastAsia="en-GB"/>
                              </w:rPr>
                            </w:pPr>
                            <w:r w:rsidRPr="0000457B">
                              <w:rPr>
                                <w:rFonts w:ascii="Arial" w:eastAsia="Times New Roman" w:hAnsi="Arial" w:cs="Arial"/>
                                <w:b/>
                                <w:bCs/>
                                <w:color w:val="806000"/>
                                <w:sz w:val="20"/>
                                <w:szCs w:val="20"/>
                                <w:lang w:val="en-GB" w:eastAsia="en-GB"/>
                              </w:rPr>
                              <w:t>C</w:t>
                            </w:r>
                          </w:p>
                        </w:tc>
                        <w:tc>
                          <w:tcPr>
                            <w:tcW w:w="1272" w:type="dxa"/>
                            <w:tcBorders>
                              <w:top w:val="single" w:sz="4" w:space="0" w:color="FFFFFF"/>
                              <w:left w:val="single" w:sz="4" w:space="0" w:color="FFFFFF"/>
                              <w:bottom w:val="single" w:sz="4" w:space="0" w:color="FFFFFF"/>
                              <w:right w:val="single" w:sz="4" w:space="0" w:color="FFFFFF"/>
                            </w:tcBorders>
                            <w:shd w:val="clear" w:color="FFFFCC" w:fill="FFFFFF"/>
                            <w:noWrap/>
                            <w:vAlign w:val="bottom"/>
                            <w:hideMark/>
                          </w:tcPr>
                          <w:p w14:paraId="1D073B15" w14:textId="77777777" w:rsidR="00D660E4" w:rsidRPr="0000457B" w:rsidRDefault="00D660E4" w:rsidP="0000457B">
                            <w:pPr>
                              <w:spacing w:after="0" w:line="240" w:lineRule="auto"/>
                              <w:jc w:val="center"/>
                              <w:rPr>
                                <w:rFonts w:ascii="Arial" w:eastAsia="Times New Roman" w:hAnsi="Arial" w:cs="Arial"/>
                                <w:b/>
                                <w:bCs/>
                                <w:color w:val="757171"/>
                                <w:sz w:val="20"/>
                                <w:szCs w:val="20"/>
                                <w:lang w:val="en-GB" w:eastAsia="en-GB"/>
                              </w:rPr>
                            </w:pPr>
                            <w:r w:rsidRPr="0000457B">
                              <w:rPr>
                                <w:rFonts w:ascii="Arial" w:eastAsia="Times New Roman" w:hAnsi="Arial" w:cs="Arial"/>
                                <w:b/>
                                <w:bCs/>
                                <w:color w:val="757171"/>
                                <w:sz w:val="20"/>
                                <w:szCs w:val="20"/>
                                <w:lang w:val="en-GB" w:eastAsia="en-GB"/>
                              </w:rPr>
                              <w:t>15</w:t>
                            </w:r>
                          </w:p>
                        </w:tc>
                        <w:tc>
                          <w:tcPr>
                            <w:tcW w:w="1014" w:type="dxa"/>
                            <w:tcBorders>
                              <w:top w:val="single" w:sz="4" w:space="0" w:color="FFFFFF"/>
                              <w:left w:val="single" w:sz="4" w:space="0" w:color="FFFFFF"/>
                              <w:bottom w:val="single" w:sz="4" w:space="0" w:color="FFFFFF"/>
                              <w:right w:val="single" w:sz="4" w:space="0" w:color="FFFFFF"/>
                            </w:tcBorders>
                            <w:shd w:val="clear" w:color="FFFFCC" w:fill="FFFFFF"/>
                            <w:noWrap/>
                            <w:vAlign w:val="bottom"/>
                            <w:hideMark/>
                          </w:tcPr>
                          <w:p w14:paraId="39725631" w14:textId="77777777" w:rsidR="00D660E4" w:rsidRPr="0000457B" w:rsidRDefault="00D660E4" w:rsidP="0000457B">
                            <w:pPr>
                              <w:spacing w:after="0" w:line="240" w:lineRule="auto"/>
                              <w:jc w:val="center"/>
                              <w:rPr>
                                <w:rFonts w:ascii="Arial" w:eastAsia="Times New Roman" w:hAnsi="Arial" w:cs="Arial"/>
                                <w:b/>
                                <w:bCs/>
                                <w:color w:val="757171"/>
                                <w:sz w:val="20"/>
                                <w:szCs w:val="20"/>
                                <w:lang w:val="en-GB" w:eastAsia="en-GB"/>
                              </w:rPr>
                            </w:pPr>
                            <w:r w:rsidRPr="0000457B">
                              <w:rPr>
                                <w:rFonts w:ascii="Arial" w:eastAsia="Times New Roman" w:hAnsi="Arial" w:cs="Arial"/>
                                <w:b/>
                                <w:bCs/>
                                <w:color w:val="757171"/>
                                <w:sz w:val="20"/>
                                <w:szCs w:val="20"/>
                                <w:lang w:val="en-GB" w:eastAsia="en-GB"/>
                              </w:rPr>
                              <w:t>23%</w:t>
                            </w:r>
                          </w:p>
                        </w:tc>
                      </w:tr>
                      <w:tr w:rsidR="00D660E4" w:rsidRPr="0000457B" w14:paraId="6FD6164D" w14:textId="77777777" w:rsidTr="0000457B">
                        <w:trPr>
                          <w:trHeight w:val="255"/>
                        </w:trPr>
                        <w:tc>
                          <w:tcPr>
                            <w:tcW w:w="828" w:type="dxa"/>
                            <w:tcBorders>
                              <w:top w:val="single" w:sz="4" w:space="0" w:color="FFFFFF"/>
                              <w:left w:val="single" w:sz="4" w:space="0" w:color="FFFFFF"/>
                              <w:bottom w:val="single" w:sz="4" w:space="0" w:color="FFFFFF"/>
                              <w:right w:val="single" w:sz="4" w:space="0" w:color="FFFFFF"/>
                            </w:tcBorders>
                            <w:shd w:val="clear" w:color="FFFFCC" w:fill="FFC267"/>
                            <w:noWrap/>
                            <w:vAlign w:val="bottom"/>
                            <w:hideMark/>
                          </w:tcPr>
                          <w:p w14:paraId="1EA5DC85" w14:textId="77777777" w:rsidR="00D660E4" w:rsidRPr="0000457B" w:rsidRDefault="00D660E4" w:rsidP="0000457B">
                            <w:pPr>
                              <w:spacing w:after="0" w:line="240" w:lineRule="auto"/>
                              <w:jc w:val="center"/>
                              <w:rPr>
                                <w:rFonts w:ascii="Arial" w:eastAsia="Times New Roman" w:hAnsi="Arial" w:cs="Arial"/>
                                <w:b/>
                                <w:bCs/>
                                <w:color w:val="833C0C"/>
                                <w:sz w:val="20"/>
                                <w:szCs w:val="20"/>
                                <w:lang w:val="en-GB" w:eastAsia="en-GB"/>
                              </w:rPr>
                            </w:pPr>
                            <w:r w:rsidRPr="0000457B">
                              <w:rPr>
                                <w:rFonts w:ascii="Arial" w:eastAsia="Times New Roman" w:hAnsi="Arial" w:cs="Arial"/>
                                <w:b/>
                                <w:bCs/>
                                <w:color w:val="833C0C"/>
                                <w:sz w:val="20"/>
                                <w:szCs w:val="20"/>
                                <w:lang w:val="en-GB" w:eastAsia="en-GB"/>
                              </w:rPr>
                              <w:t>D</w:t>
                            </w:r>
                          </w:p>
                        </w:tc>
                        <w:tc>
                          <w:tcPr>
                            <w:tcW w:w="1272" w:type="dxa"/>
                            <w:tcBorders>
                              <w:top w:val="single" w:sz="4" w:space="0" w:color="FFFFFF"/>
                              <w:left w:val="single" w:sz="4" w:space="0" w:color="FFFFFF"/>
                              <w:bottom w:val="single" w:sz="4" w:space="0" w:color="FFFFFF"/>
                              <w:right w:val="single" w:sz="4" w:space="0" w:color="FFFFFF"/>
                            </w:tcBorders>
                            <w:shd w:val="clear" w:color="FFFFCC" w:fill="FFFFFF"/>
                            <w:noWrap/>
                            <w:vAlign w:val="bottom"/>
                            <w:hideMark/>
                          </w:tcPr>
                          <w:p w14:paraId="5C09A252" w14:textId="77777777" w:rsidR="00D660E4" w:rsidRPr="0000457B" w:rsidRDefault="00D660E4" w:rsidP="0000457B">
                            <w:pPr>
                              <w:spacing w:after="0" w:line="240" w:lineRule="auto"/>
                              <w:jc w:val="center"/>
                              <w:rPr>
                                <w:rFonts w:ascii="Arial" w:eastAsia="Times New Roman" w:hAnsi="Arial" w:cs="Arial"/>
                                <w:b/>
                                <w:bCs/>
                                <w:color w:val="757171"/>
                                <w:sz w:val="20"/>
                                <w:szCs w:val="20"/>
                                <w:lang w:val="en-GB" w:eastAsia="en-GB"/>
                              </w:rPr>
                            </w:pPr>
                            <w:r w:rsidRPr="0000457B">
                              <w:rPr>
                                <w:rFonts w:ascii="Arial" w:eastAsia="Times New Roman" w:hAnsi="Arial" w:cs="Arial"/>
                                <w:b/>
                                <w:bCs/>
                                <w:color w:val="757171"/>
                                <w:sz w:val="20"/>
                                <w:szCs w:val="20"/>
                                <w:lang w:val="en-GB" w:eastAsia="en-GB"/>
                              </w:rPr>
                              <w:t>7</w:t>
                            </w:r>
                          </w:p>
                        </w:tc>
                        <w:tc>
                          <w:tcPr>
                            <w:tcW w:w="1014" w:type="dxa"/>
                            <w:tcBorders>
                              <w:top w:val="single" w:sz="4" w:space="0" w:color="FFFFFF"/>
                              <w:left w:val="single" w:sz="4" w:space="0" w:color="FFFFFF"/>
                              <w:bottom w:val="single" w:sz="4" w:space="0" w:color="FFFFFF"/>
                              <w:right w:val="single" w:sz="4" w:space="0" w:color="FFFFFF"/>
                            </w:tcBorders>
                            <w:shd w:val="clear" w:color="FFFFCC" w:fill="FFFFFF"/>
                            <w:noWrap/>
                            <w:vAlign w:val="bottom"/>
                            <w:hideMark/>
                          </w:tcPr>
                          <w:p w14:paraId="78A512FB" w14:textId="77777777" w:rsidR="00D660E4" w:rsidRPr="0000457B" w:rsidRDefault="00D660E4" w:rsidP="0000457B">
                            <w:pPr>
                              <w:spacing w:after="0" w:line="240" w:lineRule="auto"/>
                              <w:jc w:val="center"/>
                              <w:rPr>
                                <w:rFonts w:ascii="Arial" w:eastAsia="Times New Roman" w:hAnsi="Arial" w:cs="Arial"/>
                                <w:b/>
                                <w:bCs/>
                                <w:color w:val="757171"/>
                                <w:sz w:val="20"/>
                                <w:szCs w:val="20"/>
                                <w:lang w:val="en-GB" w:eastAsia="en-GB"/>
                              </w:rPr>
                            </w:pPr>
                            <w:r w:rsidRPr="0000457B">
                              <w:rPr>
                                <w:rFonts w:ascii="Arial" w:eastAsia="Times New Roman" w:hAnsi="Arial" w:cs="Arial"/>
                                <w:b/>
                                <w:bCs/>
                                <w:color w:val="757171"/>
                                <w:sz w:val="20"/>
                                <w:szCs w:val="20"/>
                                <w:lang w:val="en-GB" w:eastAsia="en-GB"/>
                              </w:rPr>
                              <w:t>11%</w:t>
                            </w:r>
                          </w:p>
                        </w:tc>
                      </w:tr>
                      <w:tr w:rsidR="00D660E4" w:rsidRPr="0000457B" w14:paraId="08364C7E" w14:textId="77777777" w:rsidTr="0000457B">
                        <w:trPr>
                          <w:trHeight w:val="255"/>
                        </w:trPr>
                        <w:tc>
                          <w:tcPr>
                            <w:tcW w:w="828" w:type="dxa"/>
                            <w:tcBorders>
                              <w:top w:val="single" w:sz="4" w:space="0" w:color="FFFFFF"/>
                              <w:left w:val="single" w:sz="4" w:space="0" w:color="FFFFFF"/>
                              <w:bottom w:val="single" w:sz="4" w:space="0" w:color="FFFFFF"/>
                              <w:right w:val="single" w:sz="4" w:space="0" w:color="FFFFFF"/>
                            </w:tcBorders>
                            <w:shd w:val="clear" w:color="FFFFCC" w:fill="FE7966"/>
                            <w:noWrap/>
                            <w:vAlign w:val="bottom"/>
                            <w:hideMark/>
                          </w:tcPr>
                          <w:p w14:paraId="03227034" w14:textId="77777777" w:rsidR="00D660E4" w:rsidRPr="0000457B" w:rsidRDefault="00D660E4" w:rsidP="0000457B">
                            <w:pPr>
                              <w:spacing w:after="0" w:line="240" w:lineRule="auto"/>
                              <w:jc w:val="center"/>
                              <w:rPr>
                                <w:rFonts w:ascii="Arial" w:eastAsia="Times New Roman" w:hAnsi="Arial" w:cs="Arial"/>
                                <w:b/>
                                <w:bCs/>
                                <w:color w:val="161616"/>
                                <w:sz w:val="20"/>
                                <w:szCs w:val="20"/>
                                <w:lang w:val="en-GB" w:eastAsia="en-GB"/>
                              </w:rPr>
                            </w:pPr>
                            <w:r w:rsidRPr="0000457B">
                              <w:rPr>
                                <w:rFonts w:ascii="Arial" w:eastAsia="Times New Roman" w:hAnsi="Arial" w:cs="Arial"/>
                                <w:b/>
                                <w:bCs/>
                                <w:color w:val="161616"/>
                                <w:sz w:val="20"/>
                                <w:szCs w:val="20"/>
                                <w:lang w:val="en-GB" w:eastAsia="en-GB"/>
                              </w:rPr>
                              <w:t>E</w:t>
                            </w:r>
                          </w:p>
                        </w:tc>
                        <w:tc>
                          <w:tcPr>
                            <w:tcW w:w="1272" w:type="dxa"/>
                            <w:tcBorders>
                              <w:top w:val="single" w:sz="4" w:space="0" w:color="FFFFFF"/>
                              <w:left w:val="single" w:sz="4" w:space="0" w:color="FFFFFF"/>
                              <w:bottom w:val="single" w:sz="4" w:space="0" w:color="FFFFFF"/>
                              <w:right w:val="single" w:sz="4" w:space="0" w:color="FFFFFF"/>
                            </w:tcBorders>
                            <w:shd w:val="clear" w:color="FFFFCC" w:fill="FFFFFF"/>
                            <w:noWrap/>
                            <w:vAlign w:val="bottom"/>
                            <w:hideMark/>
                          </w:tcPr>
                          <w:p w14:paraId="5B37217A" w14:textId="77777777" w:rsidR="00D660E4" w:rsidRPr="0000457B" w:rsidRDefault="00D660E4" w:rsidP="0000457B">
                            <w:pPr>
                              <w:spacing w:after="0" w:line="240" w:lineRule="auto"/>
                              <w:jc w:val="center"/>
                              <w:rPr>
                                <w:rFonts w:ascii="Arial" w:eastAsia="Times New Roman" w:hAnsi="Arial" w:cs="Arial"/>
                                <w:b/>
                                <w:bCs/>
                                <w:color w:val="757171"/>
                                <w:sz w:val="20"/>
                                <w:szCs w:val="20"/>
                                <w:lang w:val="en-GB" w:eastAsia="en-GB"/>
                              </w:rPr>
                            </w:pPr>
                            <w:r w:rsidRPr="0000457B">
                              <w:rPr>
                                <w:rFonts w:ascii="Arial" w:eastAsia="Times New Roman" w:hAnsi="Arial" w:cs="Arial"/>
                                <w:b/>
                                <w:bCs/>
                                <w:color w:val="757171"/>
                                <w:sz w:val="20"/>
                                <w:szCs w:val="20"/>
                                <w:lang w:val="en-GB" w:eastAsia="en-GB"/>
                              </w:rPr>
                              <w:t>13</w:t>
                            </w:r>
                          </w:p>
                        </w:tc>
                        <w:tc>
                          <w:tcPr>
                            <w:tcW w:w="1014" w:type="dxa"/>
                            <w:tcBorders>
                              <w:top w:val="single" w:sz="4" w:space="0" w:color="FFFFFF"/>
                              <w:left w:val="single" w:sz="4" w:space="0" w:color="FFFFFF"/>
                              <w:bottom w:val="single" w:sz="4" w:space="0" w:color="FFFFFF"/>
                              <w:right w:val="single" w:sz="4" w:space="0" w:color="FFFFFF"/>
                            </w:tcBorders>
                            <w:shd w:val="clear" w:color="FFFFCC" w:fill="FFFFFF"/>
                            <w:noWrap/>
                            <w:vAlign w:val="bottom"/>
                            <w:hideMark/>
                          </w:tcPr>
                          <w:p w14:paraId="6D0C3410" w14:textId="77777777" w:rsidR="00D660E4" w:rsidRPr="0000457B" w:rsidRDefault="00D660E4" w:rsidP="0000457B">
                            <w:pPr>
                              <w:spacing w:after="0" w:line="240" w:lineRule="auto"/>
                              <w:jc w:val="center"/>
                              <w:rPr>
                                <w:rFonts w:ascii="Arial" w:eastAsia="Times New Roman" w:hAnsi="Arial" w:cs="Arial"/>
                                <w:b/>
                                <w:bCs/>
                                <w:color w:val="757171"/>
                                <w:sz w:val="20"/>
                                <w:szCs w:val="20"/>
                                <w:lang w:val="en-GB" w:eastAsia="en-GB"/>
                              </w:rPr>
                            </w:pPr>
                            <w:r w:rsidRPr="0000457B">
                              <w:rPr>
                                <w:rFonts w:ascii="Arial" w:eastAsia="Times New Roman" w:hAnsi="Arial" w:cs="Arial"/>
                                <w:b/>
                                <w:bCs/>
                                <w:color w:val="757171"/>
                                <w:sz w:val="20"/>
                                <w:szCs w:val="20"/>
                                <w:lang w:val="en-GB" w:eastAsia="en-GB"/>
                              </w:rPr>
                              <w:t>20%</w:t>
                            </w:r>
                          </w:p>
                        </w:tc>
                      </w:tr>
                      <w:tr w:rsidR="00D660E4" w:rsidRPr="0000457B" w14:paraId="29AA1B24" w14:textId="77777777" w:rsidTr="0000457B">
                        <w:trPr>
                          <w:trHeight w:val="255"/>
                        </w:trPr>
                        <w:tc>
                          <w:tcPr>
                            <w:tcW w:w="828" w:type="dxa"/>
                            <w:tcBorders>
                              <w:top w:val="single" w:sz="4" w:space="0" w:color="757171"/>
                              <w:left w:val="single" w:sz="4" w:space="0" w:color="757171"/>
                              <w:bottom w:val="single" w:sz="4" w:space="0" w:color="757171"/>
                              <w:right w:val="single" w:sz="4" w:space="0" w:color="FFFFFF"/>
                            </w:tcBorders>
                            <w:shd w:val="clear" w:color="FFFFCC" w:fill="FFFFFF"/>
                            <w:noWrap/>
                            <w:vAlign w:val="bottom"/>
                            <w:hideMark/>
                          </w:tcPr>
                          <w:p w14:paraId="262128DC" w14:textId="77777777" w:rsidR="00D660E4" w:rsidRPr="0000457B" w:rsidRDefault="00D660E4" w:rsidP="0000457B">
                            <w:pPr>
                              <w:spacing w:after="0" w:line="240" w:lineRule="auto"/>
                              <w:jc w:val="center"/>
                              <w:rPr>
                                <w:rFonts w:ascii="Arial" w:eastAsia="Times New Roman" w:hAnsi="Arial" w:cs="Arial"/>
                                <w:b/>
                                <w:bCs/>
                                <w:color w:val="000000"/>
                                <w:sz w:val="20"/>
                                <w:szCs w:val="20"/>
                                <w:lang w:val="en-GB" w:eastAsia="en-GB"/>
                              </w:rPr>
                            </w:pPr>
                            <w:r w:rsidRPr="0000457B">
                              <w:rPr>
                                <w:rFonts w:ascii="Arial" w:eastAsia="Times New Roman" w:hAnsi="Arial" w:cs="Arial"/>
                                <w:b/>
                                <w:bCs/>
                                <w:color w:val="000000"/>
                                <w:sz w:val="20"/>
                                <w:szCs w:val="20"/>
                                <w:lang w:val="en-GB" w:eastAsia="en-GB"/>
                              </w:rPr>
                              <w:t>Total</w:t>
                            </w:r>
                          </w:p>
                        </w:tc>
                        <w:tc>
                          <w:tcPr>
                            <w:tcW w:w="1272" w:type="dxa"/>
                            <w:tcBorders>
                              <w:top w:val="single" w:sz="4" w:space="0" w:color="757171"/>
                              <w:left w:val="single" w:sz="4" w:space="0" w:color="FFFFFF"/>
                              <w:bottom w:val="single" w:sz="4" w:space="0" w:color="757171"/>
                              <w:right w:val="single" w:sz="4" w:space="0" w:color="FFFFFF"/>
                            </w:tcBorders>
                            <w:shd w:val="clear" w:color="FFFFCC" w:fill="FFFFFF"/>
                            <w:noWrap/>
                            <w:vAlign w:val="bottom"/>
                            <w:hideMark/>
                          </w:tcPr>
                          <w:p w14:paraId="61294468" w14:textId="77777777" w:rsidR="00D660E4" w:rsidRPr="0000457B" w:rsidRDefault="00D660E4" w:rsidP="0000457B">
                            <w:pPr>
                              <w:spacing w:after="0" w:line="240" w:lineRule="auto"/>
                              <w:jc w:val="center"/>
                              <w:rPr>
                                <w:rFonts w:ascii="Arial" w:eastAsia="Times New Roman" w:hAnsi="Arial" w:cs="Arial"/>
                                <w:b/>
                                <w:bCs/>
                                <w:color w:val="000000"/>
                                <w:sz w:val="20"/>
                                <w:szCs w:val="20"/>
                                <w:lang w:val="en-GB" w:eastAsia="en-GB"/>
                              </w:rPr>
                            </w:pPr>
                            <w:r w:rsidRPr="0000457B">
                              <w:rPr>
                                <w:rFonts w:ascii="Arial" w:eastAsia="Times New Roman" w:hAnsi="Arial" w:cs="Arial"/>
                                <w:b/>
                                <w:bCs/>
                                <w:color w:val="000000"/>
                                <w:sz w:val="20"/>
                                <w:szCs w:val="20"/>
                                <w:lang w:val="en-GB" w:eastAsia="en-GB"/>
                              </w:rPr>
                              <w:t>66</w:t>
                            </w:r>
                          </w:p>
                        </w:tc>
                        <w:tc>
                          <w:tcPr>
                            <w:tcW w:w="1014" w:type="dxa"/>
                            <w:tcBorders>
                              <w:top w:val="single" w:sz="4" w:space="0" w:color="757171"/>
                              <w:left w:val="single" w:sz="4" w:space="0" w:color="FFFFFF"/>
                              <w:bottom w:val="single" w:sz="4" w:space="0" w:color="757171"/>
                              <w:right w:val="single" w:sz="4" w:space="0" w:color="757171"/>
                            </w:tcBorders>
                            <w:shd w:val="clear" w:color="FFFFCC" w:fill="FFFFFF"/>
                            <w:noWrap/>
                            <w:vAlign w:val="bottom"/>
                            <w:hideMark/>
                          </w:tcPr>
                          <w:p w14:paraId="07322460" w14:textId="77777777" w:rsidR="00D660E4" w:rsidRPr="0000457B" w:rsidRDefault="00D660E4" w:rsidP="0000457B">
                            <w:pPr>
                              <w:spacing w:after="0" w:line="240" w:lineRule="auto"/>
                              <w:jc w:val="center"/>
                              <w:rPr>
                                <w:rFonts w:ascii="Arial" w:eastAsia="Times New Roman" w:hAnsi="Arial" w:cs="Arial"/>
                                <w:b/>
                                <w:bCs/>
                                <w:color w:val="000000"/>
                                <w:sz w:val="20"/>
                                <w:szCs w:val="20"/>
                                <w:lang w:val="en-GB" w:eastAsia="en-GB"/>
                              </w:rPr>
                            </w:pPr>
                            <w:r w:rsidRPr="0000457B">
                              <w:rPr>
                                <w:rFonts w:ascii="Arial" w:eastAsia="Times New Roman" w:hAnsi="Arial" w:cs="Arial"/>
                                <w:b/>
                                <w:bCs/>
                                <w:color w:val="000000"/>
                                <w:sz w:val="20"/>
                                <w:szCs w:val="20"/>
                                <w:lang w:val="en-GB" w:eastAsia="en-GB"/>
                              </w:rPr>
                              <w:t>100%</w:t>
                            </w:r>
                          </w:p>
                        </w:tc>
                      </w:tr>
                    </w:tbl>
                    <w:p w14:paraId="6CD34D3D" w14:textId="7D3BD4BD" w:rsidR="00D660E4" w:rsidRDefault="00D660E4"/>
                  </w:txbxContent>
                </v:textbox>
                <w10:wrap type="square"/>
              </v:shape>
            </w:pict>
          </mc:Fallback>
        </mc:AlternateContent>
      </w:r>
    </w:p>
    <w:tbl>
      <w:tblPr>
        <w:tblW w:w="3539" w:type="dxa"/>
        <w:tblLook w:val="04A0" w:firstRow="1" w:lastRow="0" w:firstColumn="1" w:lastColumn="0" w:noHBand="0" w:noVBand="1"/>
      </w:tblPr>
      <w:tblGrid>
        <w:gridCol w:w="846"/>
        <w:gridCol w:w="1276"/>
        <w:gridCol w:w="1417"/>
      </w:tblGrid>
      <w:tr w:rsidR="0000457B" w:rsidRPr="0000457B" w14:paraId="41D35D9D" w14:textId="77777777" w:rsidTr="00637D6F">
        <w:trPr>
          <w:trHeight w:val="255"/>
        </w:trPr>
        <w:tc>
          <w:tcPr>
            <w:tcW w:w="846" w:type="dxa"/>
            <w:tcBorders>
              <w:top w:val="single" w:sz="4" w:space="0" w:color="757171"/>
              <w:left w:val="single" w:sz="4" w:space="0" w:color="757171"/>
              <w:bottom w:val="single" w:sz="4" w:space="0" w:color="757171"/>
              <w:right w:val="single" w:sz="4" w:space="0" w:color="FFFFFF"/>
            </w:tcBorders>
            <w:shd w:val="clear" w:color="FFFFCC" w:fill="FFFFFF"/>
            <w:noWrap/>
            <w:vAlign w:val="bottom"/>
            <w:hideMark/>
          </w:tcPr>
          <w:p w14:paraId="3E622B86" w14:textId="77777777" w:rsidR="0000457B" w:rsidRPr="0000457B" w:rsidRDefault="0000457B" w:rsidP="0000457B">
            <w:pPr>
              <w:spacing w:after="0" w:line="240" w:lineRule="auto"/>
              <w:jc w:val="center"/>
              <w:rPr>
                <w:rFonts w:ascii="Arial" w:eastAsia="Times New Roman" w:hAnsi="Arial" w:cs="Arial"/>
                <w:b/>
                <w:bCs/>
                <w:color w:val="000000"/>
                <w:sz w:val="20"/>
                <w:szCs w:val="20"/>
                <w:lang w:val="en-GB" w:eastAsia="en-GB"/>
              </w:rPr>
            </w:pPr>
            <w:r w:rsidRPr="0000457B">
              <w:rPr>
                <w:rFonts w:ascii="Arial" w:eastAsia="Times New Roman" w:hAnsi="Arial" w:cs="Arial"/>
                <w:b/>
                <w:bCs/>
                <w:color w:val="000000"/>
                <w:sz w:val="20"/>
                <w:szCs w:val="20"/>
                <w:lang w:val="en-GB" w:eastAsia="en-GB"/>
              </w:rPr>
              <w:t>S167 intent</w:t>
            </w:r>
          </w:p>
        </w:tc>
        <w:tc>
          <w:tcPr>
            <w:tcW w:w="1276" w:type="dxa"/>
            <w:tcBorders>
              <w:top w:val="single" w:sz="4" w:space="0" w:color="757171"/>
              <w:left w:val="single" w:sz="4" w:space="0" w:color="FFFFFF"/>
              <w:bottom w:val="single" w:sz="4" w:space="0" w:color="757171"/>
              <w:right w:val="single" w:sz="4" w:space="0" w:color="FFFFFF"/>
            </w:tcBorders>
            <w:shd w:val="clear" w:color="FFFFCC" w:fill="FFFFFF"/>
            <w:noWrap/>
            <w:vAlign w:val="bottom"/>
            <w:hideMark/>
          </w:tcPr>
          <w:p w14:paraId="572C916A" w14:textId="77777777" w:rsidR="0000457B" w:rsidRPr="0000457B" w:rsidRDefault="0000457B" w:rsidP="0000457B">
            <w:pPr>
              <w:spacing w:after="0" w:line="240" w:lineRule="auto"/>
              <w:jc w:val="center"/>
              <w:rPr>
                <w:rFonts w:ascii="Arial" w:eastAsia="Times New Roman" w:hAnsi="Arial" w:cs="Arial"/>
                <w:b/>
                <w:bCs/>
                <w:color w:val="000000"/>
                <w:sz w:val="20"/>
                <w:szCs w:val="20"/>
                <w:lang w:val="en-GB" w:eastAsia="en-GB"/>
              </w:rPr>
            </w:pPr>
            <w:r w:rsidRPr="0000457B">
              <w:rPr>
                <w:rFonts w:ascii="Arial" w:eastAsia="Times New Roman" w:hAnsi="Arial" w:cs="Arial"/>
                <w:b/>
                <w:bCs/>
                <w:color w:val="000000"/>
                <w:sz w:val="20"/>
                <w:szCs w:val="20"/>
                <w:lang w:val="en-GB" w:eastAsia="en-GB"/>
              </w:rPr>
              <w:t># Authorities</w:t>
            </w:r>
          </w:p>
        </w:tc>
        <w:tc>
          <w:tcPr>
            <w:tcW w:w="1417" w:type="dxa"/>
            <w:tcBorders>
              <w:top w:val="single" w:sz="4" w:space="0" w:color="757171"/>
              <w:left w:val="single" w:sz="4" w:space="0" w:color="FFFFFF"/>
              <w:bottom w:val="single" w:sz="4" w:space="0" w:color="757171"/>
              <w:right w:val="single" w:sz="4" w:space="0" w:color="757171"/>
            </w:tcBorders>
            <w:shd w:val="clear" w:color="FFFFCC" w:fill="FFFFFF"/>
            <w:noWrap/>
            <w:vAlign w:val="bottom"/>
            <w:hideMark/>
          </w:tcPr>
          <w:p w14:paraId="63D37243" w14:textId="77777777" w:rsidR="0000457B" w:rsidRPr="0000457B" w:rsidRDefault="0000457B" w:rsidP="0000457B">
            <w:pPr>
              <w:spacing w:after="0" w:line="240" w:lineRule="auto"/>
              <w:jc w:val="center"/>
              <w:rPr>
                <w:rFonts w:ascii="Arial" w:eastAsia="Times New Roman" w:hAnsi="Arial" w:cs="Arial"/>
                <w:b/>
                <w:bCs/>
                <w:color w:val="000000"/>
                <w:sz w:val="20"/>
                <w:szCs w:val="20"/>
                <w:lang w:val="en-GB" w:eastAsia="en-GB"/>
              </w:rPr>
            </w:pPr>
            <w:r w:rsidRPr="0000457B">
              <w:rPr>
                <w:rFonts w:ascii="Arial" w:eastAsia="Times New Roman" w:hAnsi="Arial" w:cs="Arial"/>
                <w:b/>
                <w:bCs/>
                <w:color w:val="000000"/>
                <w:sz w:val="20"/>
                <w:szCs w:val="20"/>
                <w:lang w:val="en-GB" w:eastAsia="en-GB"/>
              </w:rPr>
              <w:t>% Authorities</w:t>
            </w:r>
          </w:p>
        </w:tc>
      </w:tr>
      <w:tr w:rsidR="0000457B" w:rsidRPr="0000457B" w14:paraId="6478F26A" w14:textId="77777777" w:rsidTr="00637D6F">
        <w:trPr>
          <w:trHeight w:val="255"/>
        </w:trPr>
        <w:tc>
          <w:tcPr>
            <w:tcW w:w="846" w:type="dxa"/>
            <w:tcBorders>
              <w:top w:val="single" w:sz="4" w:space="0" w:color="FFFFFF"/>
              <w:left w:val="single" w:sz="4" w:space="0" w:color="FFFFFF"/>
              <w:bottom w:val="single" w:sz="4" w:space="0" w:color="FFFFFF"/>
              <w:right w:val="single" w:sz="4" w:space="0" w:color="FFFFFF"/>
            </w:tcBorders>
            <w:shd w:val="clear" w:color="FFFFCC" w:fill="99BD66"/>
            <w:noWrap/>
            <w:vAlign w:val="bottom"/>
            <w:hideMark/>
          </w:tcPr>
          <w:p w14:paraId="64BB31BD" w14:textId="77777777" w:rsidR="0000457B" w:rsidRPr="0000457B" w:rsidRDefault="0000457B" w:rsidP="0000457B">
            <w:pPr>
              <w:spacing w:after="0" w:line="240" w:lineRule="auto"/>
              <w:jc w:val="center"/>
              <w:rPr>
                <w:rFonts w:ascii="Arial" w:eastAsia="Times New Roman" w:hAnsi="Arial" w:cs="Arial"/>
                <w:b/>
                <w:bCs/>
                <w:color w:val="000000"/>
                <w:sz w:val="20"/>
                <w:szCs w:val="20"/>
                <w:lang w:val="en-GB" w:eastAsia="en-GB"/>
              </w:rPr>
            </w:pPr>
            <w:r w:rsidRPr="0000457B">
              <w:rPr>
                <w:rFonts w:ascii="Arial" w:eastAsia="Times New Roman" w:hAnsi="Arial" w:cs="Arial"/>
                <w:b/>
                <w:bCs/>
                <w:color w:val="000000"/>
                <w:sz w:val="20"/>
                <w:szCs w:val="20"/>
                <w:lang w:val="en-GB" w:eastAsia="en-GB"/>
              </w:rPr>
              <w:t>Yes</w:t>
            </w:r>
          </w:p>
        </w:tc>
        <w:tc>
          <w:tcPr>
            <w:tcW w:w="1276" w:type="dxa"/>
            <w:tcBorders>
              <w:top w:val="single" w:sz="4" w:space="0" w:color="FFFFFF"/>
              <w:left w:val="single" w:sz="4" w:space="0" w:color="FFFFFF"/>
              <w:bottom w:val="single" w:sz="4" w:space="0" w:color="FFFFFF"/>
              <w:right w:val="single" w:sz="4" w:space="0" w:color="FFFFFF"/>
            </w:tcBorders>
            <w:shd w:val="clear" w:color="FFFFCC" w:fill="FFFFFF"/>
            <w:noWrap/>
            <w:vAlign w:val="bottom"/>
            <w:hideMark/>
          </w:tcPr>
          <w:p w14:paraId="7C701A77" w14:textId="77777777" w:rsidR="0000457B" w:rsidRPr="0000457B" w:rsidRDefault="0000457B" w:rsidP="0000457B">
            <w:pPr>
              <w:spacing w:after="0" w:line="240" w:lineRule="auto"/>
              <w:jc w:val="center"/>
              <w:rPr>
                <w:rFonts w:ascii="Arial" w:eastAsia="Times New Roman" w:hAnsi="Arial" w:cs="Arial"/>
                <w:b/>
                <w:bCs/>
                <w:color w:val="757171"/>
                <w:sz w:val="20"/>
                <w:szCs w:val="20"/>
                <w:lang w:val="en-GB" w:eastAsia="en-GB"/>
              </w:rPr>
            </w:pPr>
            <w:r w:rsidRPr="0000457B">
              <w:rPr>
                <w:rFonts w:ascii="Arial" w:eastAsia="Times New Roman" w:hAnsi="Arial" w:cs="Arial"/>
                <w:b/>
                <w:bCs/>
                <w:color w:val="757171"/>
                <w:sz w:val="20"/>
                <w:szCs w:val="20"/>
                <w:lang w:val="en-GB" w:eastAsia="en-GB"/>
              </w:rPr>
              <w:t>31</w:t>
            </w:r>
          </w:p>
        </w:tc>
        <w:tc>
          <w:tcPr>
            <w:tcW w:w="1417" w:type="dxa"/>
            <w:tcBorders>
              <w:top w:val="single" w:sz="4" w:space="0" w:color="FFFFFF"/>
              <w:left w:val="single" w:sz="4" w:space="0" w:color="FFFFFF"/>
              <w:bottom w:val="single" w:sz="4" w:space="0" w:color="FFFFFF"/>
              <w:right w:val="single" w:sz="4" w:space="0" w:color="FFFFFF"/>
            </w:tcBorders>
            <w:shd w:val="clear" w:color="FFFFCC" w:fill="FFFFFF"/>
            <w:noWrap/>
            <w:vAlign w:val="bottom"/>
            <w:hideMark/>
          </w:tcPr>
          <w:p w14:paraId="73B43C44" w14:textId="77777777" w:rsidR="0000457B" w:rsidRPr="0000457B" w:rsidRDefault="0000457B" w:rsidP="0000457B">
            <w:pPr>
              <w:spacing w:after="0" w:line="240" w:lineRule="auto"/>
              <w:jc w:val="center"/>
              <w:rPr>
                <w:rFonts w:ascii="Arial" w:eastAsia="Times New Roman" w:hAnsi="Arial" w:cs="Arial"/>
                <w:b/>
                <w:bCs/>
                <w:color w:val="757171"/>
                <w:sz w:val="20"/>
                <w:szCs w:val="20"/>
                <w:lang w:val="en-GB" w:eastAsia="en-GB"/>
              </w:rPr>
            </w:pPr>
            <w:r w:rsidRPr="0000457B">
              <w:rPr>
                <w:rFonts w:ascii="Arial" w:eastAsia="Times New Roman" w:hAnsi="Arial" w:cs="Arial"/>
                <w:b/>
                <w:bCs/>
                <w:color w:val="757171"/>
                <w:sz w:val="20"/>
                <w:szCs w:val="20"/>
                <w:lang w:val="en-GB" w:eastAsia="en-GB"/>
              </w:rPr>
              <w:t>47%</w:t>
            </w:r>
          </w:p>
        </w:tc>
      </w:tr>
      <w:tr w:rsidR="0000457B" w:rsidRPr="0000457B" w14:paraId="0932A8BA" w14:textId="77777777" w:rsidTr="00637D6F">
        <w:trPr>
          <w:trHeight w:val="255"/>
        </w:trPr>
        <w:tc>
          <w:tcPr>
            <w:tcW w:w="846" w:type="dxa"/>
            <w:tcBorders>
              <w:top w:val="single" w:sz="4" w:space="0" w:color="FFFFFF"/>
              <w:left w:val="single" w:sz="4" w:space="0" w:color="FFFFFF"/>
              <w:bottom w:val="single" w:sz="4" w:space="0" w:color="FFFFFF"/>
              <w:right w:val="single" w:sz="4" w:space="0" w:color="FFFFFF"/>
            </w:tcBorders>
            <w:shd w:val="clear" w:color="FFFFCC" w:fill="FF7D67"/>
            <w:noWrap/>
            <w:vAlign w:val="bottom"/>
            <w:hideMark/>
          </w:tcPr>
          <w:p w14:paraId="0EF8B423" w14:textId="77777777" w:rsidR="0000457B" w:rsidRPr="0000457B" w:rsidRDefault="0000457B" w:rsidP="0000457B">
            <w:pPr>
              <w:spacing w:after="0" w:line="240" w:lineRule="auto"/>
              <w:jc w:val="center"/>
              <w:rPr>
                <w:rFonts w:ascii="Arial" w:eastAsia="Times New Roman" w:hAnsi="Arial" w:cs="Arial"/>
                <w:b/>
                <w:bCs/>
                <w:color w:val="000000"/>
                <w:sz w:val="20"/>
                <w:szCs w:val="20"/>
                <w:lang w:val="en-GB" w:eastAsia="en-GB"/>
              </w:rPr>
            </w:pPr>
            <w:r w:rsidRPr="0000457B">
              <w:rPr>
                <w:rFonts w:ascii="Arial" w:eastAsia="Times New Roman" w:hAnsi="Arial" w:cs="Arial"/>
                <w:b/>
                <w:bCs/>
                <w:color w:val="000000"/>
                <w:sz w:val="20"/>
                <w:szCs w:val="20"/>
                <w:lang w:val="en-GB" w:eastAsia="en-GB"/>
              </w:rPr>
              <w:t>No</w:t>
            </w:r>
          </w:p>
        </w:tc>
        <w:tc>
          <w:tcPr>
            <w:tcW w:w="1276" w:type="dxa"/>
            <w:tcBorders>
              <w:top w:val="single" w:sz="4" w:space="0" w:color="FFFFFF"/>
              <w:left w:val="single" w:sz="4" w:space="0" w:color="FFFFFF"/>
              <w:bottom w:val="single" w:sz="4" w:space="0" w:color="FFFFFF"/>
              <w:right w:val="single" w:sz="4" w:space="0" w:color="FFFFFF"/>
            </w:tcBorders>
            <w:shd w:val="clear" w:color="FFFFCC" w:fill="FFFFFF"/>
            <w:noWrap/>
            <w:vAlign w:val="bottom"/>
            <w:hideMark/>
          </w:tcPr>
          <w:p w14:paraId="76235E34" w14:textId="77777777" w:rsidR="0000457B" w:rsidRPr="0000457B" w:rsidRDefault="0000457B" w:rsidP="0000457B">
            <w:pPr>
              <w:spacing w:after="0" w:line="240" w:lineRule="auto"/>
              <w:jc w:val="center"/>
              <w:rPr>
                <w:rFonts w:ascii="Arial" w:eastAsia="Times New Roman" w:hAnsi="Arial" w:cs="Arial"/>
                <w:b/>
                <w:bCs/>
                <w:color w:val="757171"/>
                <w:sz w:val="20"/>
                <w:szCs w:val="20"/>
                <w:lang w:val="en-GB" w:eastAsia="en-GB"/>
              </w:rPr>
            </w:pPr>
            <w:r w:rsidRPr="0000457B">
              <w:rPr>
                <w:rFonts w:ascii="Arial" w:eastAsia="Times New Roman" w:hAnsi="Arial" w:cs="Arial"/>
                <w:b/>
                <w:bCs/>
                <w:color w:val="757171"/>
                <w:sz w:val="20"/>
                <w:szCs w:val="20"/>
                <w:lang w:val="en-GB" w:eastAsia="en-GB"/>
              </w:rPr>
              <w:t>35</w:t>
            </w:r>
          </w:p>
        </w:tc>
        <w:tc>
          <w:tcPr>
            <w:tcW w:w="1417" w:type="dxa"/>
            <w:tcBorders>
              <w:top w:val="single" w:sz="4" w:space="0" w:color="FFFFFF"/>
              <w:left w:val="single" w:sz="4" w:space="0" w:color="FFFFFF"/>
              <w:bottom w:val="single" w:sz="4" w:space="0" w:color="FFFFFF"/>
              <w:right w:val="single" w:sz="4" w:space="0" w:color="FFFFFF"/>
            </w:tcBorders>
            <w:shd w:val="clear" w:color="FFFFCC" w:fill="FFFFFF"/>
            <w:noWrap/>
            <w:vAlign w:val="bottom"/>
            <w:hideMark/>
          </w:tcPr>
          <w:p w14:paraId="45E1F9A2" w14:textId="77777777" w:rsidR="0000457B" w:rsidRPr="0000457B" w:rsidRDefault="0000457B" w:rsidP="0000457B">
            <w:pPr>
              <w:spacing w:after="0" w:line="240" w:lineRule="auto"/>
              <w:jc w:val="center"/>
              <w:rPr>
                <w:rFonts w:ascii="Arial" w:eastAsia="Times New Roman" w:hAnsi="Arial" w:cs="Arial"/>
                <w:b/>
                <w:bCs/>
                <w:color w:val="757171"/>
                <w:sz w:val="20"/>
                <w:szCs w:val="20"/>
                <w:lang w:val="en-GB" w:eastAsia="en-GB"/>
              </w:rPr>
            </w:pPr>
            <w:r w:rsidRPr="0000457B">
              <w:rPr>
                <w:rFonts w:ascii="Arial" w:eastAsia="Times New Roman" w:hAnsi="Arial" w:cs="Arial"/>
                <w:b/>
                <w:bCs/>
                <w:color w:val="757171"/>
                <w:sz w:val="20"/>
                <w:szCs w:val="20"/>
                <w:lang w:val="en-GB" w:eastAsia="en-GB"/>
              </w:rPr>
              <w:t>53%</w:t>
            </w:r>
          </w:p>
        </w:tc>
      </w:tr>
      <w:tr w:rsidR="0000457B" w:rsidRPr="0000457B" w14:paraId="37134AE0" w14:textId="77777777" w:rsidTr="00637D6F">
        <w:trPr>
          <w:trHeight w:val="255"/>
        </w:trPr>
        <w:tc>
          <w:tcPr>
            <w:tcW w:w="846" w:type="dxa"/>
            <w:tcBorders>
              <w:top w:val="single" w:sz="4" w:space="0" w:color="757171"/>
              <w:left w:val="single" w:sz="4" w:space="0" w:color="757171"/>
              <w:bottom w:val="single" w:sz="4" w:space="0" w:color="757171"/>
              <w:right w:val="single" w:sz="4" w:space="0" w:color="FFFFFF"/>
            </w:tcBorders>
            <w:shd w:val="clear" w:color="FFFFCC" w:fill="FFFFFF"/>
            <w:noWrap/>
            <w:vAlign w:val="bottom"/>
            <w:hideMark/>
          </w:tcPr>
          <w:p w14:paraId="777F981F" w14:textId="77777777" w:rsidR="0000457B" w:rsidRPr="0000457B" w:rsidRDefault="0000457B" w:rsidP="0000457B">
            <w:pPr>
              <w:spacing w:after="0" w:line="240" w:lineRule="auto"/>
              <w:jc w:val="center"/>
              <w:rPr>
                <w:rFonts w:ascii="Arial" w:eastAsia="Times New Roman" w:hAnsi="Arial" w:cs="Arial"/>
                <w:b/>
                <w:bCs/>
                <w:color w:val="000000"/>
                <w:sz w:val="20"/>
                <w:szCs w:val="20"/>
                <w:lang w:val="en-GB" w:eastAsia="en-GB"/>
              </w:rPr>
            </w:pPr>
            <w:r w:rsidRPr="0000457B">
              <w:rPr>
                <w:rFonts w:ascii="Arial" w:eastAsia="Times New Roman" w:hAnsi="Arial" w:cs="Arial"/>
                <w:b/>
                <w:bCs/>
                <w:color w:val="000000"/>
                <w:sz w:val="20"/>
                <w:szCs w:val="20"/>
                <w:lang w:val="en-GB" w:eastAsia="en-GB"/>
              </w:rPr>
              <w:t>Total</w:t>
            </w:r>
          </w:p>
        </w:tc>
        <w:tc>
          <w:tcPr>
            <w:tcW w:w="1276" w:type="dxa"/>
            <w:tcBorders>
              <w:top w:val="single" w:sz="4" w:space="0" w:color="757171"/>
              <w:left w:val="single" w:sz="4" w:space="0" w:color="FFFFFF"/>
              <w:bottom w:val="single" w:sz="4" w:space="0" w:color="757171"/>
              <w:right w:val="single" w:sz="4" w:space="0" w:color="FFFFFF"/>
            </w:tcBorders>
            <w:shd w:val="clear" w:color="FFFFCC" w:fill="FFFFFF"/>
            <w:noWrap/>
            <w:vAlign w:val="bottom"/>
            <w:hideMark/>
          </w:tcPr>
          <w:p w14:paraId="74FBD212" w14:textId="77777777" w:rsidR="0000457B" w:rsidRPr="0000457B" w:rsidRDefault="0000457B" w:rsidP="0000457B">
            <w:pPr>
              <w:spacing w:after="0" w:line="240" w:lineRule="auto"/>
              <w:jc w:val="center"/>
              <w:rPr>
                <w:rFonts w:ascii="Arial" w:eastAsia="Times New Roman" w:hAnsi="Arial" w:cs="Arial"/>
                <w:b/>
                <w:bCs/>
                <w:color w:val="000000"/>
                <w:sz w:val="20"/>
                <w:szCs w:val="20"/>
                <w:lang w:val="en-GB" w:eastAsia="en-GB"/>
              </w:rPr>
            </w:pPr>
            <w:r w:rsidRPr="0000457B">
              <w:rPr>
                <w:rFonts w:ascii="Arial" w:eastAsia="Times New Roman" w:hAnsi="Arial" w:cs="Arial"/>
                <w:b/>
                <w:bCs/>
                <w:color w:val="000000"/>
                <w:sz w:val="20"/>
                <w:szCs w:val="20"/>
                <w:lang w:val="en-GB" w:eastAsia="en-GB"/>
              </w:rPr>
              <w:t>66</w:t>
            </w:r>
          </w:p>
        </w:tc>
        <w:tc>
          <w:tcPr>
            <w:tcW w:w="1417" w:type="dxa"/>
            <w:tcBorders>
              <w:top w:val="single" w:sz="4" w:space="0" w:color="757171"/>
              <w:left w:val="single" w:sz="4" w:space="0" w:color="FFFFFF"/>
              <w:bottom w:val="single" w:sz="4" w:space="0" w:color="757171"/>
              <w:right w:val="single" w:sz="4" w:space="0" w:color="757171"/>
            </w:tcBorders>
            <w:shd w:val="clear" w:color="FFFFCC" w:fill="FFFFFF"/>
            <w:noWrap/>
            <w:vAlign w:val="bottom"/>
            <w:hideMark/>
          </w:tcPr>
          <w:p w14:paraId="7BB703A2" w14:textId="77777777" w:rsidR="0000457B" w:rsidRPr="0000457B" w:rsidRDefault="0000457B" w:rsidP="0000457B">
            <w:pPr>
              <w:spacing w:after="0" w:line="240" w:lineRule="auto"/>
              <w:jc w:val="center"/>
              <w:rPr>
                <w:rFonts w:ascii="Arial" w:eastAsia="Times New Roman" w:hAnsi="Arial" w:cs="Arial"/>
                <w:b/>
                <w:bCs/>
                <w:color w:val="000000"/>
                <w:sz w:val="20"/>
                <w:szCs w:val="20"/>
                <w:lang w:val="en-GB" w:eastAsia="en-GB"/>
              </w:rPr>
            </w:pPr>
            <w:r w:rsidRPr="0000457B">
              <w:rPr>
                <w:rFonts w:ascii="Arial" w:eastAsia="Times New Roman" w:hAnsi="Arial" w:cs="Arial"/>
                <w:b/>
                <w:bCs/>
                <w:color w:val="000000"/>
                <w:sz w:val="20"/>
                <w:szCs w:val="20"/>
                <w:lang w:val="en-GB" w:eastAsia="en-GB"/>
              </w:rPr>
              <w:t>100%</w:t>
            </w:r>
          </w:p>
        </w:tc>
      </w:tr>
    </w:tbl>
    <w:p w14:paraId="5C9A1CE7" w14:textId="77777777" w:rsidR="00637D6F" w:rsidRDefault="00637D6F" w:rsidP="00637D6F">
      <w:pPr>
        <w:pStyle w:val="Caption"/>
      </w:pPr>
    </w:p>
    <w:p w14:paraId="6B3EC749" w14:textId="77777777" w:rsidR="00637D6F" w:rsidRDefault="00637D6F" w:rsidP="00637D6F">
      <w:pPr>
        <w:pStyle w:val="Caption"/>
      </w:pPr>
    </w:p>
    <w:p w14:paraId="062E9FDA" w14:textId="77777777" w:rsidR="00637D6F" w:rsidRDefault="00637D6F" w:rsidP="00637D6F">
      <w:pPr>
        <w:pStyle w:val="Caption"/>
      </w:pPr>
    </w:p>
    <w:p w14:paraId="2DEF4489" w14:textId="77777777" w:rsidR="00637D6F" w:rsidRDefault="00637D6F" w:rsidP="00637D6F">
      <w:pPr>
        <w:pStyle w:val="Caption"/>
      </w:pPr>
    </w:p>
    <w:p w14:paraId="4E73AD83" w14:textId="7FB07B76" w:rsidR="00637D6F" w:rsidRDefault="00637D6F" w:rsidP="00637D6F">
      <w:pPr>
        <w:pStyle w:val="Caption"/>
      </w:pPr>
      <w:bookmarkStart w:id="100" w:name="_Toc512556866"/>
      <w:r>
        <w:t xml:space="preserve">Table </w:t>
      </w:r>
      <w:r>
        <w:fldChar w:fldCharType="begin"/>
      </w:r>
      <w:r>
        <w:instrText xml:space="preserve"> SEQ Table \* ARABIC </w:instrText>
      </w:r>
      <w:r>
        <w:fldChar w:fldCharType="separate"/>
      </w:r>
      <w:r w:rsidR="0099156B">
        <w:rPr>
          <w:noProof/>
        </w:rPr>
        <w:t>9</w:t>
      </w:r>
      <w:r>
        <w:fldChar w:fldCharType="end"/>
      </w:r>
      <w:r w:rsidR="000573F2">
        <w:t xml:space="preserve"> –</w:t>
      </w:r>
      <w:r>
        <w:t xml:space="preserve"> S167 intent and grade of authorities with 100% accessible hackney carriage fleets</w:t>
      </w:r>
      <w:bookmarkEnd w:id="100"/>
    </w:p>
    <w:p w14:paraId="30359D0E" w14:textId="77777777" w:rsidR="00CD66F2" w:rsidRDefault="00CD66F2" w:rsidP="00637D6F"/>
    <w:p w14:paraId="355EB30D" w14:textId="6150E22B" w:rsidR="00637D6F" w:rsidRDefault="00CD66F2" w:rsidP="00637D6F">
      <w:r>
        <w:t>Fewer authorities with 100% accessible fleets have implemented a S167 list or intend to, compared to authorities without 100% accessible fleets.</w:t>
      </w:r>
      <w:r w:rsidR="0085247B">
        <w:br w:type="page"/>
      </w:r>
    </w:p>
    <w:p w14:paraId="2196EDF6" w14:textId="77777777" w:rsidR="00637D6F" w:rsidRDefault="00637D6F" w:rsidP="00637D6F">
      <w:pPr>
        <w:pStyle w:val="Heading2"/>
      </w:pPr>
      <w:bookmarkStart w:id="101" w:name="_Toc512556903"/>
      <w:r>
        <w:lastRenderedPageBreak/>
        <w:t>Compliance with Statutory Guidance</w:t>
      </w:r>
      <w:bookmarkEnd w:id="101"/>
    </w:p>
    <w:p w14:paraId="116952BA" w14:textId="5B609F48" w:rsidR="00637D6F" w:rsidRDefault="00637D6F" w:rsidP="00637D6F">
      <w:r>
        <w:rPr>
          <w:noProof/>
        </w:rPr>
        <w:drawing>
          <wp:inline distT="0" distB="0" distL="0" distR="0" wp14:anchorId="3450F358" wp14:editId="1A9A83F2">
            <wp:extent cx="5732145" cy="4819650"/>
            <wp:effectExtent l="57150" t="57150" r="173355" b="190500"/>
            <wp:docPr id="7" name="Chart 7">
              <a:extLst xmlns:a="http://schemas.openxmlformats.org/drawingml/2006/main">
                <a:ext uri="{FF2B5EF4-FFF2-40B4-BE49-F238E27FC236}">
                  <a16:creationId xmlns:a16="http://schemas.microsoft.com/office/drawing/2014/main" id="{AB48D3E0-83D8-4456-A9D8-14303DC4079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r>
        <w:t xml:space="preserve"> </w:t>
      </w:r>
    </w:p>
    <w:tbl>
      <w:tblPr>
        <w:tblW w:w="9360" w:type="dxa"/>
        <w:tblLook w:val="06A0" w:firstRow="1" w:lastRow="0" w:firstColumn="1" w:lastColumn="0" w:noHBand="1" w:noVBand="1"/>
      </w:tblPr>
      <w:tblGrid>
        <w:gridCol w:w="674"/>
        <w:gridCol w:w="1296"/>
        <w:gridCol w:w="7390"/>
      </w:tblGrid>
      <w:tr w:rsidR="005113D5" w:rsidRPr="005113D5" w14:paraId="5D165176" w14:textId="77777777" w:rsidTr="00CD66F2">
        <w:trPr>
          <w:trHeight w:val="255"/>
        </w:trPr>
        <w:tc>
          <w:tcPr>
            <w:tcW w:w="1970" w:type="dxa"/>
            <w:gridSpan w:val="2"/>
            <w:tcBorders>
              <w:top w:val="single" w:sz="12" w:space="0" w:color="auto"/>
              <w:left w:val="single" w:sz="12" w:space="0" w:color="auto"/>
              <w:bottom w:val="single" w:sz="4" w:space="0" w:color="CACACA" w:themeColor="text1" w:themeTint="40"/>
              <w:right w:val="nil"/>
            </w:tcBorders>
            <w:shd w:val="clear" w:color="FFFFCC" w:fill="FFFFFF"/>
            <w:noWrap/>
            <w:vAlign w:val="bottom"/>
            <w:hideMark/>
          </w:tcPr>
          <w:p w14:paraId="7E61E228" w14:textId="77777777" w:rsidR="005113D5" w:rsidRPr="005113D5" w:rsidRDefault="005113D5" w:rsidP="005113D5">
            <w:pPr>
              <w:spacing w:after="0" w:line="240" w:lineRule="auto"/>
              <w:ind w:firstLineChars="100" w:firstLine="201"/>
              <w:jc w:val="left"/>
              <w:rPr>
                <w:rFonts w:ascii="Arial" w:eastAsia="Times New Roman" w:hAnsi="Arial" w:cs="Arial"/>
                <w:b/>
                <w:bCs/>
                <w:color w:val="000000"/>
                <w:sz w:val="20"/>
                <w:szCs w:val="20"/>
                <w:lang w:val="en-GB" w:eastAsia="en-GB"/>
              </w:rPr>
            </w:pPr>
            <w:r w:rsidRPr="005113D5">
              <w:rPr>
                <w:rFonts w:ascii="Arial" w:eastAsia="Times New Roman" w:hAnsi="Arial" w:cs="Arial"/>
                <w:b/>
                <w:bCs/>
                <w:color w:val="000000"/>
                <w:sz w:val="20"/>
                <w:szCs w:val="20"/>
                <w:lang w:val="en-GB" w:eastAsia="en-GB"/>
              </w:rPr>
              <w:t>LEGEND</w:t>
            </w:r>
          </w:p>
        </w:tc>
        <w:tc>
          <w:tcPr>
            <w:tcW w:w="7390" w:type="dxa"/>
            <w:tcBorders>
              <w:top w:val="single" w:sz="12" w:space="0" w:color="auto"/>
              <w:left w:val="nil"/>
              <w:bottom w:val="single" w:sz="4" w:space="0" w:color="CACACA" w:themeColor="text1" w:themeTint="40"/>
              <w:right w:val="single" w:sz="12" w:space="0" w:color="auto"/>
            </w:tcBorders>
            <w:shd w:val="clear" w:color="FFFFCC" w:fill="FFFFFF"/>
            <w:noWrap/>
            <w:vAlign w:val="bottom"/>
            <w:hideMark/>
          </w:tcPr>
          <w:p w14:paraId="0C2E08DA" w14:textId="77777777" w:rsidR="005113D5" w:rsidRPr="005113D5" w:rsidRDefault="005113D5" w:rsidP="005113D5">
            <w:pPr>
              <w:spacing w:after="0" w:line="240" w:lineRule="auto"/>
              <w:jc w:val="left"/>
              <w:rPr>
                <w:rFonts w:ascii="Arial" w:eastAsia="Times New Roman" w:hAnsi="Arial" w:cs="Arial"/>
                <w:b/>
                <w:bCs/>
                <w:color w:val="000000"/>
                <w:sz w:val="20"/>
                <w:szCs w:val="20"/>
                <w:lang w:val="en-GB" w:eastAsia="en-GB"/>
              </w:rPr>
            </w:pPr>
            <w:r w:rsidRPr="005113D5">
              <w:rPr>
                <w:rFonts w:ascii="Arial" w:eastAsia="Times New Roman" w:hAnsi="Arial" w:cs="Arial"/>
                <w:b/>
                <w:bCs/>
                <w:color w:val="000000"/>
                <w:sz w:val="20"/>
                <w:szCs w:val="20"/>
                <w:lang w:val="en-GB" w:eastAsia="en-GB"/>
              </w:rPr>
              <w:t> </w:t>
            </w:r>
          </w:p>
        </w:tc>
      </w:tr>
      <w:tr w:rsidR="005113D5" w:rsidRPr="005113D5" w14:paraId="1BEC5A42" w14:textId="77777777" w:rsidTr="00CD66F2">
        <w:trPr>
          <w:trHeight w:val="255"/>
        </w:trPr>
        <w:tc>
          <w:tcPr>
            <w:tcW w:w="674" w:type="dxa"/>
            <w:tcBorders>
              <w:top w:val="single" w:sz="4" w:space="0" w:color="CACACA" w:themeColor="text1" w:themeTint="40"/>
              <w:left w:val="single" w:sz="12" w:space="0" w:color="auto"/>
              <w:bottom w:val="single" w:sz="4" w:space="0" w:color="CACACA" w:themeColor="text1" w:themeTint="40"/>
              <w:right w:val="nil"/>
            </w:tcBorders>
            <w:shd w:val="clear" w:color="FFFFCC" w:fill="FFFFFF"/>
            <w:noWrap/>
            <w:vAlign w:val="bottom"/>
            <w:hideMark/>
          </w:tcPr>
          <w:p w14:paraId="3C3FF389" w14:textId="77777777" w:rsidR="005113D5" w:rsidRPr="005113D5" w:rsidRDefault="005113D5" w:rsidP="005113D5">
            <w:pPr>
              <w:spacing w:after="0" w:line="240" w:lineRule="auto"/>
              <w:jc w:val="left"/>
              <w:rPr>
                <w:rFonts w:ascii="Arial" w:eastAsia="Times New Roman" w:hAnsi="Arial" w:cs="Arial"/>
                <w:b/>
                <w:bCs/>
                <w:color w:val="000000"/>
                <w:sz w:val="20"/>
                <w:szCs w:val="20"/>
                <w:lang w:val="en-GB" w:eastAsia="en-GB"/>
              </w:rPr>
            </w:pPr>
            <w:r w:rsidRPr="005113D5">
              <w:rPr>
                <w:rFonts w:ascii="Arial" w:eastAsia="Times New Roman" w:hAnsi="Arial" w:cs="Arial"/>
                <w:b/>
                <w:bCs/>
                <w:color w:val="000000"/>
                <w:sz w:val="20"/>
                <w:szCs w:val="20"/>
                <w:lang w:val="en-GB" w:eastAsia="en-GB"/>
              </w:rPr>
              <w:t> </w:t>
            </w:r>
          </w:p>
        </w:tc>
        <w:tc>
          <w:tcPr>
            <w:tcW w:w="1296" w:type="dxa"/>
            <w:tcBorders>
              <w:top w:val="single" w:sz="4" w:space="0" w:color="CACACA" w:themeColor="text1" w:themeTint="40"/>
              <w:left w:val="nil"/>
              <w:bottom w:val="single" w:sz="4" w:space="0" w:color="CACACA" w:themeColor="text1" w:themeTint="40"/>
              <w:right w:val="nil"/>
            </w:tcBorders>
            <w:shd w:val="clear" w:color="FFFFCC" w:fill="FFFFFF"/>
            <w:noWrap/>
            <w:vAlign w:val="bottom"/>
            <w:hideMark/>
          </w:tcPr>
          <w:p w14:paraId="7C6E962C" w14:textId="77777777" w:rsidR="005113D5" w:rsidRPr="005113D5" w:rsidRDefault="005113D5" w:rsidP="005113D5">
            <w:pPr>
              <w:spacing w:after="0" w:line="240" w:lineRule="auto"/>
              <w:jc w:val="left"/>
              <w:rPr>
                <w:rFonts w:ascii="Arial" w:eastAsia="Times New Roman" w:hAnsi="Arial" w:cs="Arial"/>
                <w:b/>
                <w:bCs/>
                <w:color w:val="000000"/>
                <w:sz w:val="20"/>
                <w:szCs w:val="20"/>
                <w:lang w:val="en-GB" w:eastAsia="en-GB"/>
              </w:rPr>
            </w:pPr>
            <w:r w:rsidRPr="005113D5">
              <w:rPr>
                <w:rFonts w:ascii="Arial" w:eastAsia="Times New Roman" w:hAnsi="Arial" w:cs="Arial"/>
                <w:b/>
                <w:bCs/>
                <w:color w:val="000000"/>
                <w:sz w:val="20"/>
                <w:szCs w:val="20"/>
                <w:lang w:val="en-GB" w:eastAsia="en-GB"/>
              </w:rPr>
              <w:t> </w:t>
            </w:r>
          </w:p>
        </w:tc>
        <w:tc>
          <w:tcPr>
            <w:tcW w:w="7390" w:type="dxa"/>
            <w:tcBorders>
              <w:top w:val="single" w:sz="4" w:space="0" w:color="CACACA" w:themeColor="text1" w:themeTint="40"/>
              <w:left w:val="nil"/>
              <w:bottom w:val="single" w:sz="4" w:space="0" w:color="CACACA" w:themeColor="text1" w:themeTint="40"/>
              <w:right w:val="single" w:sz="12" w:space="0" w:color="auto"/>
            </w:tcBorders>
            <w:shd w:val="clear" w:color="FFFFCC" w:fill="FFFFFF"/>
            <w:noWrap/>
            <w:vAlign w:val="bottom"/>
            <w:hideMark/>
          </w:tcPr>
          <w:p w14:paraId="39841A29" w14:textId="77777777" w:rsidR="005113D5" w:rsidRPr="005113D5" w:rsidRDefault="005113D5" w:rsidP="005113D5">
            <w:pPr>
              <w:spacing w:after="0" w:line="240" w:lineRule="auto"/>
              <w:jc w:val="left"/>
              <w:rPr>
                <w:rFonts w:ascii="Arial" w:eastAsia="Times New Roman" w:hAnsi="Arial" w:cs="Arial"/>
                <w:b/>
                <w:bCs/>
                <w:color w:val="000000"/>
                <w:sz w:val="20"/>
                <w:szCs w:val="20"/>
                <w:lang w:val="en-GB" w:eastAsia="en-GB"/>
              </w:rPr>
            </w:pPr>
            <w:r w:rsidRPr="005113D5">
              <w:rPr>
                <w:rFonts w:ascii="Arial" w:eastAsia="Times New Roman" w:hAnsi="Arial" w:cs="Arial"/>
                <w:b/>
                <w:bCs/>
                <w:color w:val="000000"/>
                <w:sz w:val="20"/>
                <w:szCs w:val="20"/>
                <w:lang w:val="en-GB" w:eastAsia="en-GB"/>
              </w:rPr>
              <w:t> </w:t>
            </w:r>
          </w:p>
        </w:tc>
      </w:tr>
      <w:tr w:rsidR="005113D5" w:rsidRPr="005113D5" w14:paraId="77645270" w14:textId="77777777" w:rsidTr="00CD66F2">
        <w:trPr>
          <w:trHeight w:val="255"/>
        </w:trPr>
        <w:tc>
          <w:tcPr>
            <w:tcW w:w="1970" w:type="dxa"/>
            <w:gridSpan w:val="2"/>
            <w:tcBorders>
              <w:top w:val="single" w:sz="4" w:space="0" w:color="CACACA" w:themeColor="text1" w:themeTint="40"/>
              <w:left w:val="single" w:sz="12" w:space="0" w:color="auto"/>
              <w:bottom w:val="single" w:sz="4" w:space="0" w:color="CACACA" w:themeColor="text1" w:themeTint="40"/>
              <w:right w:val="nil"/>
            </w:tcBorders>
            <w:shd w:val="clear" w:color="FFFFCC" w:fill="FFFFFF"/>
            <w:vAlign w:val="center"/>
            <w:hideMark/>
          </w:tcPr>
          <w:p w14:paraId="554F54C4" w14:textId="77777777" w:rsidR="005113D5" w:rsidRPr="005113D5" w:rsidRDefault="005113D5" w:rsidP="005113D5">
            <w:pPr>
              <w:spacing w:after="0" w:line="240" w:lineRule="auto"/>
              <w:jc w:val="center"/>
              <w:rPr>
                <w:rFonts w:ascii="Arial" w:eastAsia="Times New Roman" w:hAnsi="Arial" w:cs="Arial"/>
                <w:b/>
                <w:bCs/>
                <w:color w:val="000000"/>
                <w:sz w:val="20"/>
                <w:szCs w:val="20"/>
                <w:lang w:val="en-GB" w:eastAsia="en-GB"/>
              </w:rPr>
            </w:pPr>
            <w:r w:rsidRPr="005113D5">
              <w:rPr>
                <w:rFonts w:ascii="Arial" w:eastAsia="Times New Roman" w:hAnsi="Arial" w:cs="Arial"/>
                <w:b/>
                <w:bCs/>
                <w:color w:val="000000"/>
                <w:sz w:val="20"/>
                <w:szCs w:val="20"/>
                <w:lang w:val="en-GB" w:eastAsia="en-GB"/>
              </w:rPr>
              <w:t xml:space="preserve">Compliant List </w:t>
            </w:r>
          </w:p>
        </w:tc>
        <w:tc>
          <w:tcPr>
            <w:tcW w:w="7390" w:type="dxa"/>
            <w:tcBorders>
              <w:top w:val="single" w:sz="4" w:space="0" w:color="CACACA" w:themeColor="text1" w:themeTint="40"/>
              <w:left w:val="nil"/>
              <w:bottom w:val="single" w:sz="4" w:space="0" w:color="CACACA" w:themeColor="text1" w:themeTint="40"/>
              <w:right w:val="single" w:sz="12" w:space="0" w:color="auto"/>
            </w:tcBorders>
            <w:shd w:val="clear" w:color="FFFFCC" w:fill="FFFFFF"/>
            <w:noWrap/>
            <w:vAlign w:val="center"/>
            <w:hideMark/>
          </w:tcPr>
          <w:p w14:paraId="5F73C548" w14:textId="39422CF2" w:rsidR="005113D5" w:rsidRPr="005113D5" w:rsidRDefault="005113D5" w:rsidP="005113D5">
            <w:pPr>
              <w:spacing w:after="0" w:line="240" w:lineRule="auto"/>
              <w:jc w:val="left"/>
              <w:rPr>
                <w:rFonts w:ascii="Arial" w:eastAsia="Times New Roman" w:hAnsi="Arial" w:cs="Arial"/>
                <w:b/>
                <w:bCs/>
                <w:color w:val="000000"/>
                <w:sz w:val="20"/>
                <w:szCs w:val="20"/>
                <w:lang w:val="en-GB" w:eastAsia="en-GB"/>
              </w:rPr>
            </w:pPr>
            <w:r w:rsidRPr="005113D5">
              <w:rPr>
                <w:rFonts w:ascii="Arial" w:eastAsia="Times New Roman" w:hAnsi="Arial" w:cs="Arial"/>
                <w:b/>
                <w:bCs/>
                <w:color w:val="000000"/>
                <w:sz w:val="20"/>
                <w:szCs w:val="20"/>
                <w:lang w:val="en-GB" w:eastAsia="en-GB"/>
              </w:rPr>
              <w:t>S167 list complies with the technical requirements set out in S3.10 of the Department for Transport's Statutory Guidance.</w:t>
            </w:r>
          </w:p>
        </w:tc>
      </w:tr>
      <w:tr w:rsidR="005113D5" w:rsidRPr="005113D5" w14:paraId="26E07C24" w14:textId="77777777" w:rsidTr="00CD66F2">
        <w:trPr>
          <w:trHeight w:val="255"/>
        </w:trPr>
        <w:tc>
          <w:tcPr>
            <w:tcW w:w="1970" w:type="dxa"/>
            <w:gridSpan w:val="2"/>
            <w:tcBorders>
              <w:top w:val="single" w:sz="4" w:space="0" w:color="CACACA" w:themeColor="text1" w:themeTint="40"/>
              <w:left w:val="single" w:sz="12" w:space="0" w:color="auto"/>
              <w:bottom w:val="single" w:sz="4" w:space="0" w:color="CACACA" w:themeColor="text1" w:themeTint="40"/>
              <w:right w:val="nil"/>
            </w:tcBorders>
            <w:shd w:val="clear" w:color="FFFFCC" w:fill="FFFFFF"/>
            <w:vAlign w:val="center"/>
            <w:hideMark/>
          </w:tcPr>
          <w:p w14:paraId="5EBB997B" w14:textId="77777777" w:rsidR="005113D5" w:rsidRPr="005113D5" w:rsidRDefault="005113D5" w:rsidP="005113D5">
            <w:pPr>
              <w:spacing w:after="0" w:line="240" w:lineRule="auto"/>
              <w:jc w:val="center"/>
              <w:rPr>
                <w:rFonts w:ascii="Arial" w:eastAsia="Times New Roman" w:hAnsi="Arial" w:cs="Arial"/>
                <w:b/>
                <w:bCs/>
                <w:color w:val="000000"/>
                <w:sz w:val="20"/>
                <w:szCs w:val="20"/>
                <w:lang w:val="en-GB" w:eastAsia="en-GB"/>
              </w:rPr>
            </w:pPr>
            <w:r w:rsidRPr="005113D5">
              <w:rPr>
                <w:rFonts w:ascii="Arial" w:eastAsia="Times New Roman" w:hAnsi="Arial" w:cs="Arial"/>
                <w:b/>
                <w:bCs/>
                <w:color w:val="000000"/>
                <w:sz w:val="20"/>
                <w:szCs w:val="20"/>
                <w:lang w:val="en-GB" w:eastAsia="en-GB"/>
              </w:rPr>
              <w:t xml:space="preserve">Ref Wch </w:t>
            </w:r>
          </w:p>
        </w:tc>
        <w:tc>
          <w:tcPr>
            <w:tcW w:w="7390" w:type="dxa"/>
            <w:tcBorders>
              <w:top w:val="single" w:sz="4" w:space="0" w:color="CACACA" w:themeColor="text1" w:themeTint="40"/>
              <w:left w:val="nil"/>
              <w:bottom w:val="single" w:sz="4" w:space="0" w:color="CACACA" w:themeColor="text1" w:themeTint="40"/>
              <w:right w:val="single" w:sz="12" w:space="0" w:color="auto"/>
            </w:tcBorders>
            <w:shd w:val="clear" w:color="FFFFCC" w:fill="FFFFFF"/>
            <w:noWrap/>
            <w:vAlign w:val="center"/>
            <w:hideMark/>
          </w:tcPr>
          <w:p w14:paraId="5DFBFB31" w14:textId="6A630979" w:rsidR="005113D5" w:rsidRPr="005113D5" w:rsidRDefault="005113D5" w:rsidP="005113D5">
            <w:pPr>
              <w:spacing w:after="0" w:line="240" w:lineRule="auto"/>
              <w:jc w:val="left"/>
              <w:rPr>
                <w:rFonts w:ascii="Arial" w:eastAsia="Times New Roman" w:hAnsi="Arial" w:cs="Arial"/>
                <w:b/>
                <w:bCs/>
                <w:color w:val="000000"/>
                <w:sz w:val="20"/>
                <w:szCs w:val="20"/>
                <w:lang w:val="en-GB" w:eastAsia="en-GB"/>
              </w:rPr>
            </w:pPr>
            <w:r w:rsidRPr="005113D5">
              <w:rPr>
                <w:rFonts w:ascii="Arial" w:eastAsia="Times New Roman" w:hAnsi="Arial" w:cs="Arial"/>
                <w:b/>
                <w:bCs/>
                <w:color w:val="000000"/>
                <w:sz w:val="20"/>
                <w:szCs w:val="20"/>
                <w:lang w:val="en-GB" w:eastAsia="en-GB"/>
              </w:rPr>
              <w:t>S167 list is of vehicles which can accept the standard "reference wheelchair"</w:t>
            </w:r>
          </w:p>
        </w:tc>
      </w:tr>
      <w:tr w:rsidR="005113D5" w:rsidRPr="005113D5" w14:paraId="75A23937" w14:textId="77777777" w:rsidTr="00CD66F2">
        <w:trPr>
          <w:trHeight w:val="255"/>
        </w:trPr>
        <w:tc>
          <w:tcPr>
            <w:tcW w:w="1970" w:type="dxa"/>
            <w:gridSpan w:val="2"/>
            <w:tcBorders>
              <w:top w:val="single" w:sz="4" w:space="0" w:color="CACACA" w:themeColor="text1" w:themeTint="40"/>
              <w:left w:val="single" w:sz="12" w:space="0" w:color="auto"/>
              <w:bottom w:val="single" w:sz="4" w:space="0" w:color="CACACA" w:themeColor="text1" w:themeTint="40"/>
              <w:right w:val="nil"/>
            </w:tcBorders>
            <w:shd w:val="clear" w:color="FFFFCC" w:fill="FFFFFF"/>
            <w:vAlign w:val="center"/>
            <w:hideMark/>
          </w:tcPr>
          <w:p w14:paraId="0D0735CA" w14:textId="77777777" w:rsidR="005113D5" w:rsidRPr="005113D5" w:rsidRDefault="005113D5" w:rsidP="005113D5">
            <w:pPr>
              <w:spacing w:after="0" w:line="240" w:lineRule="auto"/>
              <w:jc w:val="center"/>
              <w:rPr>
                <w:rFonts w:ascii="Arial" w:eastAsia="Times New Roman" w:hAnsi="Arial" w:cs="Arial"/>
                <w:b/>
                <w:bCs/>
                <w:color w:val="000000"/>
                <w:sz w:val="20"/>
                <w:szCs w:val="20"/>
                <w:lang w:val="en-GB" w:eastAsia="en-GB"/>
              </w:rPr>
            </w:pPr>
            <w:r w:rsidRPr="005113D5">
              <w:rPr>
                <w:rFonts w:ascii="Arial" w:eastAsia="Times New Roman" w:hAnsi="Arial" w:cs="Arial"/>
                <w:b/>
                <w:bCs/>
                <w:color w:val="000000"/>
                <w:sz w:val="20"/>
                <w:szCs w:val="20"/>
                <w:lang w:val="en-GB" w:eastAsia="en-GB"/>
              </w:rPr>
              <w:t xml:space="preserve">Chair Size </w:t>
            </w:r>
          </w:p>
        </w:tc>
        <w:tc>
          <w:tcPr>
            <w:tcW w:w="7390" w:type="dxa"/>
            <w:tcBorders>
              <w:top w:val="single" w:sz="4" w:space="0" w:color="CACACA" w:themeColor="text1" w:themeTint="40"/>
              <w:left w:val="nil"/>
              <w:bottom w:val="single" w:sz="4" w:space="0" w:color="CACACA" w:themeColor="text1" w:themeTint="40"/>
              <w:right w:val="single" w:sz="12" w:space="0" w:color="auto"/>
            </w:tcBorders>
            <w:shd w:val="clear" w:color="FFFFCC" w:fill="FFFFFF"/>
            <w:noWrap/>
            <w:vAlign w:val="center"/>
            <w:hideMark/>
          </w:tcPr>
          <w:p w14:paraId="68A74F83" w14:textId="7AE03A2B" w:rsidR="005113D5" w:rsidRPr="005113D5" w:rsidRDefault="005113D5" w:rsidP="005113D5">
            <w:pPr>
              <w:spacing w:after="0" w:line="240" w:lineRule="auto"/>
              <w:jc w:val="left"/>
              <w:rPr>
                <w:rFonts w:ascii="Arial" w:eastAsia="Times New Roman" w:hAnsi="Arial" w:cs="Arial"/>
                <w:b/>
                <w:bCs/>
                <w:color w:val="000000"/>
                <w:sz w:val="20"/>
                <w:szCs w:val="20"/>
                <w:lang w:val="en-GB" w:eastAsia="en-GB"/>
              </w:rPr>
            </w:pPr>
            <w:r w:rsidRPr="005113D5">
              <w:rPr>
                <w:rFonts w:ascii="Arial" w:eastAsia="Times New Roman" w:hAnsi="Arial" w:cs="Arial"/>
                <w:b/>
                <w:bCs/>
                <w:color w:val="000000"/>
                <w:sz w:val="20"/>
                <w:szCs w:val="20"/>
                <w:lang w:val="en-GB" w:eastAsia="en-GB"/>
              </w:rPr>
              <w:t>S167 list includes details on what sizes of chair each vehicle can take other than the "reference wheelchair"</w:t>
            </w:r>
          </w:p>
        </w:tc>
      </w:tr>
      <w:tr w:rsidR="005113D5" w:rsidRPr="005113D5" w14:paraId="1E3AF0C4" w14:textId="77777777" w:rsidTr="00CD66F2">
        <w:trPr>
          <w:trHeight w:val="255"/>
        </w:trPr>
        <w:tc>
          <w:tcPr>
            <w:tcW w:w="1970" w:type="dxa"/>
            <w:gridSpan w:val="2"/>
            <w:tcBorders>
              <w:top w:val="single" w:sz="4" w:space="0" w:color="CACACA" w:themeColor="text1" w:themeTint="40"/>
              <w:left w:val="single" w:sz="12" w:space="0" w:color="auto"/>
              <w:bottom w:val="single" w:sz="4" w:space="0" w:color="CACACA" w:themeColor="text1" w:themeTint="40"/>
              <w:right w:val="nil"/>
            </w:tcBorders>
            <w:shd w:val="clear" w:color="FFFFCC" w:fill="FFFFFF"/>
            <w:vAlign w:val="center"/>
            <w:hideMark/>
          </w:tcPr>
          <w:p w14:paraId="6B79F102" w14:textId="77777777" w:rsidR="005113D5" w:rsidRPr="005113D5" w:rsidRDefault="005113D5" w:rsidP="005113D5">
            <w:pPr>
              <w:spacing w:after="0" w:line="240" w:lineRule="auto"/>
              <w:jc w:val="center"/>
              <w:rPr>
                <w:rFonts w:ascii="Arial" w:eastAsia="Times New Roman" w:hAnsi="Arial" w:cs="Arial"/>
                <w:b/>
                <w:bCs/>
                <w:color w:val="000000"/>
                <w:sz w:val="20"/>
                <w:szCs w:val="20"/>
                <w:lang w:val="en-GB" w:eastAsia="en-GB"/>
              </w:rPr>
            </w:pPr>
            <w:r w:rsidRPr="005113D5">
              <w:rPr>
                <w:rFonts w:ascii="Arial" w:eastAsia="Times New Roman" w:hAnsi="Arial" w:cs="Arial"/>
                <w:b/>
                <w:bCs/>
                <w:color w:val="000000"/>
                <w:sz w:val="20"/>
                <w:szCs w:val="20"/>
                <w:lang w:val="en-GB" w:eastAsia="en-GB"/>
              </w:rPr>
              <w:t xml:space="preserve">Driver Guidance </w:t>
            </w:r>
          </w:p>
        </w:tc>
        <w:tc>
          <w:tcPr>
            <w:tcW w:w="7390" w:type="dxa"/>
            <w:tcBorders>
              <w:top w:val="single" w:sz="4" w:space="0" w:color="CACACA" w:themeColor="text1" w:themeTint="40"/>
              <w:left w:val="nil"/>
              <w:bottom w:val="single" w:sz="4" w:space="0" w:color="CACACA" w:themeColor="text1" w:themeTint="40"/>
              <w:right w:val="single" w:sz="12" w:space="0" w:color="auto"/>
            </w:tcBorders>
            <w:shd w:val="clear" w:color="FFFFCC" w:fill="FFFFFF"/>
            <w:noWrap/>
            <w:vAlign w:val="center"/>
            <w:hideMark/>
          </w:tcPr>
          <w:p w14:paraId="401FC7A6" w14:textId="77AF3F80" w:rsidR="005113D5" w:rsidRPr="005113D5" w:rsidRDefault="00CD66F2" w:rsidP="005113D5">
            <w:pPr>
              <w:spacing w:after="0" w:line="240" w:lineRule="auto"/>
              <w:jc w:val="left"/>
              <w:rPr>
                <w:rFonts w:ascii="Arial" w:eastAsia="Times New Roman" w:hAnsi="Arial" w:cs="Arial"/>
                <w:b/>
                <w:bCs/>
                <w:color w:val="000000"/>
                <w:sz w:val="20"/>
                <w:szCs w:val="20"/>
                <w:lang w:val="en-GB" w:eastAsia="en-GB"/>
              </w:rPr>
            </w:pPr>
            <w:r>
              <w:rPr>
                <w:rFonts w:ascii="Arial" w:eastAsia="Times New Roman" w:hAnsi="Arial" w:cs="Arial"/>
                <w:b/>
                <w:bCs/>
                <w:color w:val="000000"/>
                <w:sz w:val="20"/>
                <w:szCs w:val="20"/>
                <w:lang w:val="en-GB" w:eastAsia="en-GB"/>
              </w:rPr>
              <w:t>A</w:t>
            </w:r>
            <w:r w:rsidR="005113D5" w:rsidRPr="005113D5">
              <w:rPr>
                <w:rFonts w:ascii="Arial" w:eastAsia="Times New Roman" w:hAnsi="Arial" w:cs="Arial"/>
                <w:b/>
                <w:bCs/>
                <w:color w:val="000000"/>
                <w:sz w:val="20"/>
                <w:szCs w:val="20"/>
                <w:lang w:val="en-GB" w:eastAsia="en-GB"/>
              </w:rPr>
              <w:t>uthority has issued drivers of vehicles on the list with guidance as to their legal obligations towards wheelchair users</w:t>
            </w:r>
          </w:p>
        </w:tc>
      </w:tr>
      <w:tr w:rsidR="005113D5" w:rsidRPr="005113D5" w14:paraId="01C3062D" w14:textId="77777777" w:rsidTr="00CD66F2">
        <w:trPr>
          <w:trHeight w:val="285"/>
        </w:trPr>
        <w:tc>
          <w:tcPr>
            <w:tcW w:w="1970" w:type="dxa"/>
            <w:gridSpan w:val="2"/>
            <w:tcBorders>
              <w:top w:val="single" w:sz="4" w:space="0" w:color="CACACA" w:themeColor="text1" w:themeTint="40"/>
              <w:left w:val="single" w:sz="12" w:space="0" w:color="auto"/>
              <w:bottom w:val="single" w:sz="4" w:space="0" w:color="CACACA" w:themeColor="text1" w:themeTint="40"/>
              <w:right w:val="nil"/>
            </w:tcBorders>
            <w:shd w:val="clear" w:color="FFFFCC" w:fill="FFFFFF"/>
            <w:vAlign w:val="center"/>
            <w:hideMark/>
          </w:tcPr>
          <w:p w14:paraId="5633514A" w14:textId="77777777" w:rsidR="005113D5" w:rsidRPr="005113D5" w:rsidRDefault="005113D5" w:rsidP="005113D5">
            <w:pPr>
              <w:spacing w:after="0" w:line="240" w:lineRule="auto"/>
              <w:jc w:val="center"/>
              <w:rPr>
                <w:rFonts w:ascii="Arial" w:eastAsia="Times New Roman" w:hAnsi="Arial" w:cs="Arial"/>
                <w:b/>
                <w:bCs/>
                <w:color w:val="000000"/>
                <w:sz w:val="20"/>
                <w:szCs w:val="20"/>
                <w:lang w:val="en-GB" w:eastAsia="en-GB"/>
              </w:rPr>
            </w:pPr>
            <w:r w:rsidRPr="005113D5">
              <w:rPr>
                <w:rFonts w:ascii="Arial" w:eastAsia="Times New Roman" w:hAnsi="Arial" w:cs="Arial"/>
                <w:b/>
                <w:bCs/>
                <w:color w:val="000000"/>
                <w:sz w:val="20"/>
                <w:szCs w:val="20"/>
                <w:lang w:val="en-GB" w:eastAsia="en-GB"/>
              </w:rPr>
              <w:t>Meter Policy</w:t>
            </w:r>
          </w:p>
        </w:tc>
        <w:tc>
          <w:tcPr>
            <w:tcW w:w="7390" w:type="dxa"/>
            <w:tcBorders>
              <w:top w:val="single" w:sz="4" w:space="0" w:color="CACACA" w:themeColor="text1" w:themeTint="40"/>
              <w:left w:val="nil"/>
              <w:bottom w:val="single" w:sz="4" w:space="0" w:color="CACACA" w:themeColor="text1" w:themeTint="40"/>
              <w:right w:val="single" w:sz="12" w:space="0" w:color="auto"/>
            </w:tcBorders>
            <w:shd w:val="clear" w:color="FFFFCC" w:fill="FFFFFF"/>
            <w:noWrap/>
            <w:vAlign w:val="center"/>
            <w:hideMark/>
          </w:tcPr>
          <w:p w14:paraId="09C265AB" w14:textId="7779DD52" w:rsidR="005113D5" w:rsidRPr="005113D5" w:rsidRDefault="00CD66F2" w:rsidP="005113D5">
            <w:pPr>
              <w:spacing w:after="0" w:line="240" w:lineRule="auto"/>
              <w:jc w:val="left"/>
              <w:rPr>
                <w:rFonts w:ascii="Arial" w:eastAsia="Times New Roman" w:hAnsi="Arial" w:cs="Arial"/>
                <w:b/>
                <w:bCs/>
                <w:color w:val="000000"/>
                <w:sz w:val="20"/>
                <w:szCs w:val="20"/>
                <w:lang w:val="en-GB" w:eastAsia="en-GB"/>
              </w:rPr>
            </w:pPr>
            <w:r>
              <w:rPr>
                <w:rFonts w:ascii="Arial" w:eastAsia="Times New Roman" w:hAnsi="Arial" w:cs="Arial"/>
                <w:b/>
                <w:bCs/>
                <w:color w:val="000000"/>
                <w:sz w:val="20"/>
                <w:szCs w:val="20"/>
                <w:lang w:val="en-GB" w:eastAsia="en-GB"/>
              </w:rPr>
              <w:t xml:space="preserve">Authority </w:t>
            </w:r>
            <w:r w:rsidR="005113D5" w:rsidRPr="005113D5">
              <w:rPr>
                <w:rFonts w:ascii="Arial" w:eastAsia="Times New Roman" w:hAnsi="Arial" w:cs="Arial"/>
                <w:b/>
                <w:bCs/>
                <w:color w:val="000000"/>
                <w:sz w:val="20"/>
                <w:szCs w:val="20"/>
                <w:lang w:val="en-GB" w:eastAsia="en-GB"/>
              </w:rPr>
              <w:t>has issued guidance as to when a meter may be left running during loading / unloading a wheelchair user</w:t>
            </w:r>
          </w:p>
        </w:tc>
      </w:tr>
      <w:tr w:rsidR="005113D5" w:rsidRPr="005113D5" w14:paraId="75F185D9" w14:textId="77777777" w:rsidTr="00CD66F2">
        <w:trPr>
          <w:trHeight w:val="525"/>
        </w:trPr>
        <w:tc>
          <w:tcPr>
            <w:tcW w:w="1970" w:type="dxa"/>
            <w:gridSpan w:val="2"/>
            <w:tcBorders>
              <w:top w:val="single" w:sz="4" w:space="0" w:color="CACACA" w:themeColor="text1" w:themeTint="40"/>
              <w:left w:val="single" w:sz="12" w:space="0" w:color="auto"/>
              <w:bottom w:val="single" w:sz="4" w:space="0" w:color="CACACA" w:themeColor="text1" w:themeTint="40"/>
              <w:right w:val="nil"/>
            </w:tcBorders>
            <w:shd w:val="clear" w:color="FFFFCC" w:fill="FFFFFF"/>
            <w:vAlign w:val="center"/>
            <w:hideMark/>
          </w:tcPr>
          <w:p w14:paraId="31D0908A" w14:textId="77777777" w:rsidR="005113D5" w:rsidRPr="005113D5" w:rsidRDefault="005113D5" w:rsidP="005113D5">
            <w:pPr>
              <w:spacing w:after="0" w:line="240" w:lineRule="auto"/>
              <w:jc w:val="center"/>
              <w:rPr>
                <w:rFonts w:ascii="Arial" w:eastAsia="Times New Roman" w:hAnsi="Arial" w:cs="Arial"/>
                <w:b/>
                <w:bCs/>
                <w:color w:val="000000"/>
                <w:sz w:val="20"/>
                <w:szCs w:val="20"/>
                <w:lang w:val="en-GB" w:eastAsia="en-GB"/>
              </w:rPr>
            </w:pPr>
            <w:r w:rsidRPr="005113D5">
              <w:rPr>
                <w:rFonts w:ascii="Arial" w:eastAsia="Times New Roman" w:hAnsi="Arial" w:cs="Arial"/>
                <w:b/>
                <w:bCs/>
                <w:color w:val="000000"/>
                <w:sz w:val="20"/>
                <w:szCs w:val="20"/>
                <w:lang w:val="en-GB" w:eastAsia="en-GB"/>
              </w:rPr>
              <w:t xml:space="preserve">Exemption GP Report </w:t>
            </w:r>
          </w:p>
        </w:tc>
        <w:tc>
          <w:tcPr>
            <w:tcW w:w="7390" w:type="dxa"/>
            <w:tcBorders>
              <w:top w:val="single" w:sz="4" w:space="0" w:color="CACACA" w:themeColor="text1" w:themeTint="40"/>
              <w:left w:val="nil"/>
              <w:bottom w:val="single" w:sz="4" w:space="0" w:color="CACACA" w:themeColor="text1" w:themeTint="40"/>
              <w:right w:val="single" w:sz="12" w:space="0" w:color="auto"/>
            </w:tcBorders>
            <w:shd w:val="clear" w:color="FFFFCC" w:fill="FFFFFF"/>
            <w:noWrap/>
            <w:vAlign w:val="center"/>
            <w:hideMark/>
          </w:tcPr>
          <w:p w14:paraId="2945CDB6" w14:textId="09A9D3A6" w:rsidR="005113D5" w:rsidRPr="005113D5" w:rsidRDefault="00CD66F2" w:rsidP="005113D5">
            <w:pPr>
              <w:spacing w:after="0" w:line="240" w:lineRule="auto"/>
              <w:jc w:val="left"/>
              <w:rPr>
                <w:rFonts w:ascii="Arial" w:eastAsia="Times New Roman" w:hAnsi="Arial" w:cs="Arial"/>
                <w:b/>
                <w:bCs/>
                <w:color w:val="000000"/>
                <w:sz w:val="20"/>
                <w:szCs w:val="20"/>
                <w:lang w:val="en-GB" w:eastAsia="en-GB"/>
              </w:rPr>
            </w:pPr>
            <w:r>
              <w:rPr>
                <w:rFonts w:ascii="Arial" w:eastAsia="Times New Roman" w:hAnsi="Arial" w:cs="Arial"/>
                <w:b/>
                <w:bCs/>
                <w:color w:val="000000"/>
                <w:sz w:val="20"/>
                <w:szCs w:val="20"/>
                <w:lang w:val="en-GB" w:eastAsia="en-GB"/>
              </w:rPr>
              <w:t>Authority</w:t>
            </w:r>
            <w:r w:rsidR="005113D5" w:rsidRPr="005113D5">
              <w:rPr>
                <w:rFonts w:ascii="Arial" w:eastAsia="Times New Roman" w:hAnsi="Arial" w:cs="Arial"/>
                <w:b/>
                <w:bCs/>
                <w:color w:val="000000"/>
                <w:sz w:val="20"/>
                <w:szCs w:val="20"/>
                <w:lang w:val="en-GB" w:eastAsia="en-GB"/>
              </w:rPr>
              <w:t xml:space="preserve"> accepts GP reports as evidence of drivers' medical inability to comply with obligations to wheelchair users</w:t>
            </w:r>
          </w:p>
        </w:tc>
      </w:tr>
      <w:tr w:rsidR="005113D5" w:rsidRPr="005113D5" w14:paraId="28529C8D" w14:textId="77777777" w:rsidTr="00CD66F2">
        <w:trPr>
          <w:trHeight w:val="495"/>
        </w:trPr>
        <w:tc>
          <w:tcPr>
            <w:tcW w:w="1970" w:type="dxa"/>
            <w:gridSpan w:val="2"/>
            <w:tcBorders>
              <w:top w:val="single" w:sz="4" w:space="0" w:color="CACACA" w:themeColor="text1" w:themeTint="40"/>
              <w:left w:val="single" w:sz="12" w:space="0" w:color="auto"/>
              <w:bottom w:val="single" w:sz="4" w:space="0" w:color="CACACA" w:themeColor="text1" w:themeTint="40"/>
              <w:right w:val="nil"/>
            </w:tcBorders>
            <w:shd w:val="clear" w:color="FFFFCC" w:fill="FFFFFF"/>
            <w:vAlign w:val="center"/>
            <w:hideMark/>
          </w:tcPr>
          <w:p w14:paraId="4DA8C1A7" w14:textId="77777777" w:rsidR="005113D5" w:rsidRPr="005113D5" w:rsidRDefault="005113D5" w:rsidP="005113D5">
            <w:pPr>
              <w:spacing w:after="0" w:line="240" w:lineRule="auto"/>
              <w:jc w:val="center"/>
              <w:rPr>
                <w:rFonts w:ascii="Arial" w:eastAsia="Times New Roman" w:hAnsi="Arial" w:cs="Arial"/>
                <w:b/>
                <w:bCs/>
                <w:color w:val="000000"/>
                <w:sz w:val="20"/>
                <w:szCs w:val="20"/>
                <w:lang w:val="en-GB" w:eastAsia="en-GB"/>
              </w:rPr>
            </w:pPr>
            <w:r w:rsidRPr="005113D5">
              <w:rPr>
                <w:rFonts w:ascii="Arial" w:eastAsia="Times New Roman" w:hAnsi="Arial" w:cs="Arial"/>
                <w:b/>
                <w:bCs/>
                <w:color w:val="000000"/>
                <w:sz w:val="20"/>
                <w:szCs w:val="20"/>
                <w:lang w:val="en-GB" w:eastAsia="en-GB"/>
              </w:rPr>
              <w:t xml:space="preserve">Exemption Medical Examiner </w:t>
            </w:r>
          </w:p>
        </w:tc>
        <w:tc>
          <w:tcPr>
            <w:tcW w:w="7390" w:type="dxa"/>
            <w:tcBorders>
              <w:top w:val="single" w:sz="4" w:space="0" w:color="CACACA" w:themeColor="text1" w:themeTint="40"/>
              <w:left w:val="nil"/>
              <w:bottom w:val="single" w:sz="4" w:space="0" w:color="CACACA" w:themeColor="text1" w:themeTint="40"/>
              <w:right w:val="single" w:sz="12" w:space="0" w:color="auto"/>
            </w:tcBorders>
            <w:shd w:val="clear" w:color="FFFFCC" w:fill="FFFFFF"/>
            <w:noWrap/>
            <w:vAlign w:val="center"/>
            <w:hideMark/>
          </w:tcPr>
          <w:p w14:paraId="5E1A0C31" w14:textId="308B3463" w:rsidR="005113D5" w:rsidRPr="005113D5" w:rsidRDefault="00CD66F2" w:rsidP="005113D5">
            <w:pPr>
              <w:spacing w:after="0" w:line="240" w:lineRule="auto"/>
              <w:jc w:val="left"/>
              <w:rPr>
                <w:rFonts w:ascii="Arial" w:eastAsia="Times New Roman" w:hAnsi="Arial" w:cs="Arial"/>
                <w:b/>
                <w:bCs/>
                <w:color w:val="000000"/>
                <w:sz w:val="20"/>
                <w:szCs w:val="20"/>
                <w:lang w:val="en-GB" w:eastAsia="en-GB"/>
              </w:rPr>
            </w:pPr>
            <w:r>
              <w:rPr>
                <w:rFonts w:ascii="Arial" w:eastAsia="Times New Roman" w:hAnsi="Arial" w:cs="Arial"/>
                <w:b/>
                <w:bCs/>
                <w:color w:val="000000"/>
                <w:sz w:val="20"/>
                <w:szCs w:val="20"/>
                <w:lang w:val="en-GB" w:eastAsia="en-GB"/>
              </w:rPr>
              <w:t>Authority</w:t>
            </w:r>
            <w:r w:rsidR="005113D5" w:rsidRPr="005113D5">
              <w:rPr>
                <w:rFonts w:ascii="Arial" w:eastAsia="Times New Roman" w:hAnsi="Arial" w:cs="Arial"/>
                <w:b/>
                <w:bCs/>
                <w:color w:val="000000"/>
                <w:sz w:val="20"/>
                <w:szCs w:val="20"/>
                <w:lang w:val="en-GB" w:eastAsia="en-GB"/>
              </w:rPr>
              <w:t xml:space="preserve"> has appointed an independent medical examiner to conduct medicals to determine exemptions</w:t>
            </w:r>
          </w:p>
        </w:tc>
      </w:tr>
      <w:tr w:rsidR="005113D5" w:rsidRPr="005113D5" w14:paraId="1CF07828" w14:textId="77777777" w:rsidTr="00CD66F2">
        <w:trPr>
          <w:trHeight w:val="540"/>
        </w:trPr>
        <w:tc>
          <w:tcPr>
            <w:tcW w:w="1970" w:type="dxa"/>
            <w:gridSpan w:val="2"/>
            <w:tcBorders>
              <w:top w:val="single" w:sz="4" w:space="0" w:color="CACACA" w:themeColor="text1" w:themeTint="40"/>
              <w:left w:val="single" w:sz="12" w:space="0" w:color="auto"/>
              <w:bottom w:val="single" w:sz="4" w:space="0" w:color="CACACA" w:themeColor="text1" w:themeTint="40"/>
              <w:right w:val="nil"/>
            </w:tcBorders>
            <w:shd w:val="clear" w:color="FFFFCC" w:fill="FFFFFF"/>
            <w:vAlign w:val="center"/>
            <w:hideMark/>
          </w:tcPr>
          <w:p w14:paraId="044CA485" w14:textId="77777777" w:rsidR="005113D5" w:rsidRPr="005113D5" w:rsidRDefault="005113D5" w:rsidP="005113D5">
            <w:pPr>
              <w:spacing w:after="0" w:line="240" w:lineRule="auto"/>
              <w:jc w:val="center"/>
              <w:rPr>
                <w:rFonts w:ascii="Arial" w:eastAsia="Times New Roman" w:hAnsi="Arial" w:cs="Arial"/>
                <w:b/>
                <w:bCs/>
                <w:color w:val="000000"/>
                <w:sz w:val="20"/>
                <w:szCs w:val="20"/>
                <w:lang w:val="en-GB" w:eastAsia="en-GB"/>
              </w:rPr>
            </w:pPr>
            <w:r w:rsidRPr="005113D5">
              <w:rPr>
                <w:rFonts w:ascii="Arial" w:eastAsia="Times New Roman" w:hAnsi="Arial" w:cs="Arial"/>
                <w:b/>
                <w:bCs/>
                <w:color w:val="000000"/>
                <w:sz w:val="20"/>
                <w:szCs w:val="20"/>
                <w:lang w:val="en-GB" w:eastAsia="en-GB"/>
              </w:rPr>
              <w:t xml:space="preserve">Exemption S166 Form </w:t>
            </w:r>
          </w:p>
        </w:tc>
        <w:tc>
          <w:tcPr>
            <w:tcW w:w="7390" w:type="dxa"/>
            <w:tcBorders>
              <w:top w:val="single" w:sz="4" w:space="0" w:color="CACACA" w:themeColor="text1" w:themeTint="40"/>
              <w:left w:val="nil"/>
              <w:bottom w:val="single" w:sz="4" w:space="0" w:color="CACACA" w:themeColor="text1" w:themeTint="40"/>
              <w:right w:val="single" w:sz="12" w:space="0" w:color="auto"/>
            </w:tcBorders>
            <w:shd w:val="clear" w:color="FFFFCC" w:fill="FFFFFF"/>
            <w:noWrap/>
            <w:vAlign w:val="center"/>
            <w:hideMark/>
          </w:tcPr>
          <w:p w14:paraId="0B5026E3" w14:textId="113D2491" w:rsidR="005113D5" w:rsidRPr="005113D5" w:rsidRDefault="00CD66F2" w:rsidP="005113D5">
            <w:pPr>
              <w:spacing w:after="0" w:line="240" w:lineRule="auto"/>
              <w:jc w:val="left"/>
              <w:rPr>
                <w:rFonts w:ascii="Arial" w:eastAsia="Times New Roman" w:hAnsi="Arial" w:cs="Arial"/>
                <w:b/>
                <w:bCs/>
                <w:color w:val="000000"/>
                <w:sz w:val="20"/>
                <w:szCs w:val="20"/>
                <w:lang w:val="en-GB" w:eastAsia="en-GB"/>
              </w:rPr>
            </w:pPr>
            <w:r>
              <w:rPr>
                <w:rFonts w:ascii="Arial" w:eastAsia="Times New Roman" w:hAnsi="Arial" w:cs="Arial"/>
                <w:b/>
                <w:bCs/>
                <w:color w:val="000000"/>
                <w:sz w:val="20"/>
                <w:szCs w:val="20"/>
                <w:lang w:val="en-GB" w:eastAsia="en-GB"/>
              </w:rPr>
              <w:t xml:space="preserve">Authority </w:t>
            </w:r>
            <w:r w:rsidR="005113D5" w:rsidRPr="005113D5">
              <w:rPr>
                <w:rFonts w:ascii="Arial" w:eastAsia="Times New Roman" w:hAnsi="Arial" w:cs="Arial"/>
                <w:b/>
                <w:bCs/>
                <w:color w:val="000000"/>
                <w:sz w:val="20"/>
                <w:szCs w:val="20"/>
                <w:lang w:val="en-GB" w:eastAsia="en-GB"/>
              </w:rPr>
              <w:t>has a ready-designed form by which drivers can apply for medical exemption</w:t>
            </w:r>
          </w:p>
        </w:tc>
      </w:tr>
      <w:tr w:rsidR="005113D5" w:rsidRPr="005113D5" w14:paraId="224D7C00" w14:textId="77777777" w:rsidTr="00CD66F2">
        <w:trPr>
          <w:trHeight w:val="255"/>
        </w:trPr>
        <w:tc>
          <w:tcPr>
            <w:tcW w:w="1970" w:type="dxa"/>
            <w:gridSpan w:val="2"/>
            <w:tcBorders>
              <w:top w:val="single" w:sz="4" w:space="0" w:color="CACACA" w:themeColor="text1" w:themeTint="40"/>
              <w:left w:val="single" w:sz="12" w:space="0" w:color="auto"/>
              <w:bottom w:val="single" w:sz="12" w:space="0" w:color="auto"/>
              <w:right w:val="nil"/>
            </w:tcBorders>
            <w:shd w:val="clear" w:color="FFFFCC" w:fill="FFFFFF"/>
            <w:vAlign w:val="center"/>
            <w:hideMark/>
          </w:tcPr>
          <w:p w14:paraId="503E5805" w14:textId="77777777" w:rsidR="005113D5" w:rsidRPr="005113D5" w:rsidRDefault="005113D5" w:rsidP="005113D5">
            <w:pPr>
              <w:spacing w:after="0" w:line="240" w:lineRule="auto"/>
              <w:jc w:val="center"/>
              <w:rPr>
                <w:rFonts w:ascii="Arial" w:eastAsia="Times New Roman" w:hAnsi="Arial" w:cs="Arial"/>
                <w:b/>
                <w:bCs/>
                <w:color w:val="000000"/>
                <w:sz w:val="20"/>
                <w:szCs w:val="20"/>
                <w:lang w:val="en-GB" w:eastAsia="en-GB"/>
              </w:rPr>
            </w:pPr>
            <w:r w:rsidRPr="005113D5">
              <w:rPr>
                <w:rFonts w:ascii="Arial" w:eastAsia="Times New Roman" w:hAnsi="Arial" w:cs="Arial"/>
                <w:b/>
                <w:bCs/>
                <w:color w:val="000000"/>
                <w:sz w:val="20"/>
                <w:szCs w:val="20"/>
                <w:lang w:val="en-GB" w:eastAsia="en-GB"/>
              </w:rPr>
              <w:t xml:space="preserve">W/ch Transfer Lists </w:t>
            </w:r>
          </w:p>
        </w:tc>
        <w:tc>
          <w:tcPr>
            <w:tcW w:w="7390" w:type="dxa"/>
            <w:tcBorders>
              <w:top w:val="single" w:sz="4" w:space="0" w:color="CACACA" w:themeColor="text1" w:themeTint="40"/>
              <w:left w:val="nil"/>
              <w:bottom w:val="single" w:sz="12" w:space="0" w:color="auto"/>
              <w:right w:val="single" w:sz="12" w:space="0" w:color="auto"/>
            </w:tcBorders>
            <w:shd w:val="clear" w:color="FFFFCC" w:fill="FFFFFF"/>
            <w:noWrap/>
            <w:vAlign w:val="center"/>
            <w:hideMark/>
          </w:tcPr>
          <w:p w14:paraId="02C38838" w14:textId="3BB60C3E" w:rsidR="005113D5" w:rsidRPr="005113D5" w:rsidRDefault="00CD66F2" w:rsidP="005113D5">
            <w:pPr>
              <w:spacing w:after="0" w:line="240" w:lineRule="auto"/>
              <w:jc w:val="left"/>
              <w:rPr>
                <w:rFonts w:ascii="Arial" w:eastAsia="Times New Roman" w:hAnsi="Arial" w:cs="Arial"/>
                <w:b/>
                <w:bCs/>
                <w:color w:val="000000"/>
                <w:sz w:val="20"/>
                <w:szCs w:val="20"/>
                <w:lang w:val="en-GB" w:eastAsia="en-GB"/>
              </w:rPr>
            </w:pPr>
            <w:r>
              <w:rPr>
                <w:rFonts w:ascii="Arial" w:eastAsia="Times New Roman" w:hAnsi="Arial" w:cs="Arial"/>
                <w:b/>
                <w:bCs/>
                <w:color w:val="000000"/>
                <w:sz w:val="20"/>
                <w:szCs w:val="20"/>
                <w:lang w:val="en-GB" w:eastAsia="en-GB"/>
              </w:rPr>
              <w:t>Authority</w:t>
            </w:r>
            <w:r w:rsidR="005113D5" w:rsidRPr="005113D5">
              <w:rPr>
                <w:rFonts w:ascii="Arial" w:eastAsia="Times New Roman" w:hAnsi="Arial" w:cs="Arial"/>
                <w:b/>
                <w:bCs/>
                <w:color w:val="000000"/>
                <w:sz w:val="20"/>
                <w:szCs w:val="20"/>
                <w:lang w:val="en-GB" w:eastAsia="en-GB"/>
              </w:rPr>
              <w:t xml:space="preserve"> has a list of vehicles accessible to passengers in wheelchairs able to transfer from their wheelchair into a seat.</w:t>
            </w:r>
          </w:p>
        </w:tc>
      </w:tr>
    </w:tbl>
    <w:p w14:paraId="24CB7742" w14:textId="24ADD9E6" w:rsidR="00637D6F" w:rsidRDefault="005113D5" w:rsidP="005113D5">
      <w:pPr>
        <w:pStyle w:val="Caption"/>
      </w:pPr>
      <w:bookmarkStart w:id="102" w:name="_Toc512556857"/>
      <w:r>
        <w:t xml:space="preserve">Figure </w:t>
      </w:r>
      <w:r>
        <w:fldChar w:fldCharType="begin"/>
      </w:r>
      <w:r>
        <w:instrText xml:space="preserve"> SEQ Figure \* ARABIC </w:instrText>
      </w:r>
      <w:r>
        <w:fldChar w:fldCharType="separate"/>
      </w:r>
      <w:r w:rsidR="0099156B">
        <w:rPr>
          <w:noProof/>
        </w:rPr>
        <w:t>8</w:t>
      </w:r>
      <w:r>
        <w:fldChar w:fldCharType="end"/>
      </w:r>
      <w:r w:rsidR="000911DE">
        <w:t xml:space="preserve"> </w:t>
      </w:r>
      <w:r w:rsidR="000573F2">
        <w:t>–</w:t>
      </w:r>
      <w:r w:rsidR="000911DE">
        <w:t xml:space="preserve"> </w:t>
      </w:r>
      <w:r>
        <w:t>Authority compliance with Statutory Guidance</w:t>
      </w:r>
      <w:bookmarkEnd w:id="102"/>
    </w:p>
    <w:tbl>
      <w:tblPr>
        <w:tblW w:w="9130" w:type="dxa"/>
        <w:tblLook w:val="04A0" w:firstRow="1" w:lastRow="0" w:firstColumn="1" w:lastColumn="0" w:noHBand="0" w:noVBand="1"/>
      </w:tblPr>
      <w:tblGrid>
        <w:gridCol w:w="1305"/>
        <w:gridCol w:w="1302"/>
        <w:gridCol w:w="1339"/>
        <w:gridCol w:w="1223"/>
        <w:gridCol w:w="1284"/>
        <w:gridCol w:w="1283"/>
        <w:gridCol w:w="1394"/>
      </w:tblGrid>
      <w:tr w:rsidR="005113D5" w:rsidRPr="005113D5" w14:paraId="3E5C3C0E" w14:textId="77777777" w:rsidTr="005113D5">
        <w:trPr>
          <w:trHeight w:val="570"/>
        </w:trPr>
        <w:tc>
          <w:tcPr>
            <w:tcW w:w="1305" w:type="dxa"/>
            <w:tcBorders>
              <w:top w:val="single" w:sz="4" w:space="0" w:color="757171"/>
              <w:left w:val="single" w:sz="4" w:space="0" w:color="757171"/>
              <w:bottom w:val="single" w:sz="4" w:space="0" w:color="757171"/>
              <w:right w:val="single" w:sz="4" w:space="0" w:color="757171"/>
            </w:tcBorders>
            <w:shd w:val="clear" w:color="000000" w:fill="FFFFFF"/>
            <w:vAlign w:val="bottom"/>
            <w:hideMark/>
          </w:tcPr>
          <w:p w14:paraId="6FD3A78A" w14:textId="77777777" w:rsidR="005113D5" w:rsidRPr="005113D5" w:rsidRDefault="005113D5" w:rsidP="005113D5">
            <w:pPr>
              <w:spacing w:after="0" w:line="240" w:lineRule="auto"/>
              <w:jc w:val="center"/>
              <w:rPr>
                <w:rFonts w:ascii="Arial" w:eastAsia="Times New Roman" w:hAnsi="Arial" w:cs="Arial"/>
                <w:b/>
                <w:bCs/>
                <w:color w:val="000000"/>
                <w:sz w:val="20"/>
                <w:szCs w:val="20"/>
                <w:lang w:val="en-GB" w:eastAsia="en-GB"/>
              </w:rPr>
            </w:pPr>
            <w:r w:rsidRPr="005113D5">
              <w:rPr>
                <w:rFonts w:ascii="Arial" w:eastAsia="Times New Roman" w:hAnsi="Arial" w:cs="Arial"/>
                <w:b/>
                <w:bCs/>
                <w:color w:val="000000"/>
                <w:sz w:val="20"/>
                <w:szCs w:val="20"/>
                <w:lang w:val="en-GB" w:eastAsia="en-GB"/>
              </w:rPr>
              <w:lastRenderedPageBreak/>
              <w:t>Authorities</w:t>
            </w:r>
          </w:p>
        </w:tc>
        <w:tc>
          <w:tcPr>
            <w:tcW w:w="1302" w:type="dxa"/>
            <w:tcBorders>
              <w:top w:val="single" w:sz="4" w:space="0" w:color="757171"/>
              <w:left w:val="single" w:sz="4" w:space="0" w:color="auto"/>
              <w:bottom w:val="single" w:sz="4" w:space="0" w:color="757171"/>
              <w:right w:val="single" w:sz="4" w:space="0" w:color="FFFFFF"/>
            </w:tcBorders>
            <w:shd w:val="clear" w:color="000000" w:fill="FFFFFF"/>
            <w:vAlign w:val="bottom"/>
            <w:hideMark/>
          </w:tcPr>
          <w:p w14:paraId="25CF4448" w14:textId="77777777" w:rsidR="005113D5" w:rsidRPr="005113D5" w:rsidRDefault="005113D5" w:rsidP="005113D5">
            <w:pPr>
              <w:spacing w:after="0" w:line="240" w:lineRule="auto"/>
              <w:jc w:val="center"/>
              <w:rPr>
                <w:rFonts w:ascii="Arial" w:eastAsia="Times New Roman" w:hAnsi="Arial" w:cs="Arial"/>
                <w:b/>
                <w:bCs/>
                <w:color w:val="000000"/>
                <w:sz w:val="20"/>
                <w:szCs w:val="20"/>
                <w:lang w:val="en-GB" w:eastAsia="en-GB"/>
              </w:rPr>
            </w:pPr>
            <w:r w:rsidRPr="005113D5">
              <w:rPr>
                <w:rFonts w:ascii="Arial" w:eastAsia="Times New Roman" w:hAnsi="Arial" w:cs="Arial"/>
                <w:b/>
                <w:bCs/>
                <w:color w:val="000000"/>
                <w:sz w:val="20"/>
                <w:szCs w:val="20"/>
                <w:lang w:val="en-GB" w:eastAsia="en-GB"/>
              </w:rPr>
              <w:t>Compliant List #</w:t>
            </w:r>
          </w:p>
        </w:tc>
        <w:tc>
          <w:tcPr>
            <w:tcW w:w="1339" w:type="dxa"/>
            <w:tcBorders>
              <w:top w:val="single" w:sz="4" w:space="0" w:color="757171"/>
              <w:left w:val="single" w:sz="4" w:space="0" w:color="FFFFFF"/>
              <w:bottom w:val="single" w:sz="4" w:space="0" w:color="757171"/>
              <w:right w:val="single" w:sz="4" w:space="0" w:color="auto"/>
            </w:tcBorders>
            <w:shd w:val="clear" w:color="000000" w:fill="FFFFFF"/>
            <w:vAlign w:val="bottom"/>
            <w:hideMark/>
          </w:tcPr>
          <w:p w14:paraId="1B7B4E68" w14:textId="77777777" w:rsidR="005113D5" w:rsidRPr="005113D5" w:rsidRDefault="005113D5" w:rsidP="005113D5">
            <w:pPr>
              <w:spacing w:after="0" w:line="240" w:lineRule="auto"/>
              <w:jc w:val="center"/>
              <w:rPr>
                <w:rFonts w:ascii="Arial" w:eastAsia="Times New Roman" w:hAnsi="Arial" w:cs="Arial"/>
                <w:b/>
                <w:bCs/>
                <w:color w:val="000000"/>
                <w:sz w:val="20"/>
                <w:szCs w:val="20"/>
                <w:lang w:val="en-GB" w:eastAsia="en-GB"/>
              </w:rPr>
            </w:pPr>
            <w:r w:rsidRPr="005113D5">
              <w:rPr>
                <w:rFonts w:ascii="Arial" w:eastAsia="Times New Roman" w:hAnsi="Arial" w:cs="Arial"/>
                <w:b/>
                <w:bCs/>
                <w:color w:val="000000"/>
                <w:sz w:val="20"/>
                <w:szCs w:val="20"/>
                <w:lang w:val="en-GB" w:eastAsia="en-GB"/>
              </w:rPr>
              <w:t>Compliant List %</w:t>
            </w:r>
          </w:p>
        </w:tc>
        <w:tc>
          <w:tcPr>
            <w:tcW w:w="1223" w:type="dxa"/>
            <w:tcBorders>
              <w:top w:val="single" w:sz="4" w:space="0" w:color="757171"/>
              <w:left w:val="single" w:sz="4" w:space="0" w:color="FFFFFF"/>
              <w:bottom w:val="single" w:sz="4" w:space="0" w:color="757171"/>
              <w:right w:val="single" w:sz="4" w:space="0" w:color="FFFFFF"/>
            </w:tcBorders>
            <w:shd w:val="clear" w:color="000000" w:fill="FFFFFF"/>
            <w:vAlign w:val="bottom"/>
            <w:hideMark/>
          </w:tcPr>
          <w:p w14:paraId="647BB3DC" w14:textId="77777777" w:rsidR="005113D5" w:rsidRPr="005113D5" w:rsidRDefault="005113D5" w:rsidP="005113D5">
            <w:pPr>
              <w:spacing w:after="0" w:line="240" w:lineRule="auto"/>
              <w:jc w:val="center"/>
              <w:rPr>
                <w:rFonts w:ascii="Arial" w:eastAsia="Times New Roman" w:hAnsi="Arial" w:cs="Arial"/>
                <w:b/>
                <w:bCs/>
                <w:color w:val="000000"/>
                <w:sz w:val="20"/>
                <w:szCs w:val="20"/>
                <w:lang w:val="en-GB" w:eastAsia="en-GB"/>
              </w:rPr>
            </w:pPr>
            <w:r w:rsidRPr="005113D5">
              <w:rPr>
                <w:rFonts w:ascii="Arial" w:eastAsia="Times New Roman" w:hAnsi="Arial" w:cs="Arial"/>
                <w:b/>
                <w:bCs/>
                <w:color w:val="000000"/>
                <w:sz w:val="20"/>
                <w:szCs w:val="20"/>
                <w:lang w:val="en-GB" w:eastAsia="en-GB"/>
              </w:rPr>
              <w:t>Ref Wch #</w:t>
            </w:r>
          </w:p>
        </w:tc>
        <w:tc>
          <w:tcPr>
            <w:tcW w:w="1284" w:type="dxa"/>
            <w:tcBorders>
              <w:top w:val="single" w:sz="4" w:space="0" w:color="757171"/>
              <w:left w:val="single" w:sz="4" w:space="0" w:color="FFFFFF"/>
              <w:bottom w:val="single" w:sz="4" w:space="0" w:color="757171"/>
              <w:right w:val="single" w:sz="4" w:space="0" w:color="auto"/>
            </w:tcBorders>
            <w:shd w:val="clear" w:color="000000" w:fill="FFFFFF"/>
            <w:vAlign w:val="bottom"/>
            <w:hideMark/>
          </w:tcPr>
          <w:p w14:paraId="78AFF515" w14:textId="77777777" w:rsidR="005113D5" w:rsidRPr="005113D5" w:rsidRDefault="005113D5" w:rsidP="005113D5">
            <w:pPr>
              <w:spacing w:after="0" w:line="240" w:lineRule="auto"/>
              <w:jc w:val="center"/>
              <w:rPr>
                <w:rFonts w:ascii="Arial" w:eastAsia="Times New Roman" w:hAnsi="Arial" w:cs="Arial"/>
                <w:b/>
                <w:bCs/>
                <w:color w:val="000000"/>
                <w:sz w:val="20"/>
                <w:szCs w:val="20"/>
                <w:lang w:val="en-GB" w:eastAsia="en-GB"/>
              </w:rPr>
            </w:pPr>
            <w:r w:rsidRPr="005113D5">
              <w:rPr>
                <w:rFonts w:ascii="Arial" w:eastAsia="Times New Roman" w:hAnsi="Arial" w:cs="Arial"/>
                <w:b/>
                <w:bCs/>
                <w:color w:val="000000"/>
                <w:sz w:val="20"/>
                <w:szCs w:val="20"/>
                <w:lang w:val="en-GB" w:eastAsia="en-GB"/>
              </w:rPr>
              <w:t>Ref Wch %</w:t>
            </w:r>
          </w:p>
        </w:tc>
        <w:tc>
          <w:tcPr>
            <w:tcW w:w="1283" w:type="dxa"/>
            <w:tcBorders>
              <w:top w:val="single" w:sz="4" w:space="0" w:color="757171"/>
              <w:left w:val="single" w:sz="4" w:space="0" w:color="auto"/>
              <w:bottom w:val="single" w:sz="4" w:space="0" w:color="757171"/>
              <w:right w:val="single" w:sz="4" w:space="0" w:color="FFFFFF"/>
            </w:tcBorders>
            <w:shd w:val="clear" w:color="000000" w:fill="FFFFFF"/>
            <w:vAlign w:val="bottom"/>
            <w:hideMark/>
          </w:tcPr>
          <w:p w14:paraId="115A11A1" w14:textId="77777777" w:rsidR="005113D5" w:rsidRPr="005113D5" w:rsidRDefault="005113D5" w:rsidP="005113D5">
            <w:pPr>
              <w:spacing w:after="0" w:line="240" w:lineRule="auto"/>
              <w:jc w:val="center"/>
              <w:rPr>
                <w:rFonts w:ascii="Arial" w:eastAsia="Times New Roman" w:hAnsi="Arial" w:cs="Arial"/>
                <w:b/>
                <w:bCs/>
                <w:color w:val="000000"/>
                <w:sz w:val="20"/>
                <w:szCs w:val="20"/>
                <w:lang w:val="en-GB" w:eastAsia="en-GB"/>
              </w:rPr>
            </w:pPr>
            <w:r w:rsidRPr="005113D5">
              <w:rPr>
                <w:rFonts w:ascii="Arial" w:eastAsia="Times New Roman" w:hAnsi="Arial" w:cs="Arial"/>
                <w:b/>
                <w:bCs/>
                <w:color w:val="000000"/>
                <w:sz w:val="20"/>
                <w:szCs w:val="20"/>
                <w:lang w:val="en-GB" w:eastAsia="en-GB"/>
              </w:rPr>
              <w:t>Chair Size #</w:t>
            </w:r>
          </w:p>
        </w:tc>
        <w:tc>
          <w:tcPr>
            <w:tcW w:w="1394" w:type="dxa"/>
            <w:tcBorders>
              <w:top w:val="single" w:sz="4" w:space="0" w:color="757171"/>
              <w:left w:val="single" w:sz="4" w:space="0" w:color="FFFFFF"/>
              <w:bottom w:val="single" w:sz="4" w:space="0" w:color="757171"/>
              <w:right w:val="single" w:sz="4" w:space="0" w:color="757171"/>
            </w:tcBorders>
            <w:shd w:val="clear" w:color="000000" w:fill="FFFFFF"/>
            <w:vAlign w:val="bottom"/>
            <w:hideMark/>
          </w:tcPr>
          <w:p w14:paraId="47630FA6" w14:textId="77777777" w:rsidR="005113D5" w:rsidRPr="005113D5" w:rsidRDefault="005113D5" w:rsidP="005113D5">
            <w:pPr>
              <w:spacing w:after="0" w:line="240" w:lineRule="auto"/>
              <w:jc w:val="center"/>
              <w:rPr>
                <w:rFonts w:ascii="Arial" w:eastAsia="Times New Roman" w:hAnsi="Arial" w:cs="Arial"/>
                <w:b/>
                <w:bCs/>
                <w:color w:val="000000"/>
                <w:sz w:val="20"/>
                <w:szCs w:val="20"/>
                <w:lang w:val="en-GB" w:eastAsia="en-GB"/>
              </w:rPr>
            </w:pPr>
            <w:r w:rsidRPr="005113D5">
              <w:rPr>
                <w:rFonts w:ascii="Arial" w:eastAsia="Times New Roman" w:hAnsi="Arial" w:cs="Arial"/>
                <w:b/>
                <w:bCs/>
                <w:color w:val="000000"/>
                <w:sz w:val="20"/>
                <w:szCs w:val="20"/>
                <w:lang w:val="en-GB" w:eastAsia="en-GB"/>
              </w:rPr>
              <w:t>Chair Size %</w:t>
            </w:r>
          </w:p>
        </w:tc>
      </w:tr>
      <w:tr w:rsidR="005113D5" w:rsidRPr="005113D5" w14:paraId="6C5BAD9C" w14:textId="77777777" w:rsidTr="005113D5">
        <w:trPr>
          <w:trHeight w:val="255"/>
        </w:trPr>
        <w:tc>
          <w:tcPr>
            <w:tcW w:w="1305" w:type="dxa"/>
            <w:tcBorders>
              <w:top w:val="single" w:sz="4" w:space="0" w:color="FFFFFF"/>
              <w:left w:val="single" w:sz="4" w:space="0" w:color="FFFFFF"/>
              <w:bottom w:val="single" w:sz="4" w:space="0" w:color="FFFFFF"/>
              <w:right w:val="single" w:sz="4" w:space="0" w:color="FFFFFF"/>
            </w:tcBorders>
            <w:shd w:val="clear" w:color="000000" w:fill="99BD66"/>
            <w:noWrap/>
            <w:vAlign w:val="bottom"/>
            <w:hideMark/>
          </w:tcPr>
          <w:p w14:paraId="7378BC60" w14:textId="77777777" w:rsidR="005113D5" w:rsidRPr="005113D5" w:rsidRDefault="005113D5" w:rsidP="005113D5">
            <w:pPr>
              <w:spacing w:after="0" w:line="240" w:lineRule="auto"/>
              <w:jc w:val="center"/>
              <w:rPr>
                <w:rFonts w:ascii="Arial" w:eastAsia="Times New Roman" w:hAnsi="Arial" w:cs="Arial"/>
                <w:b/>
                <w:bCs/>
                <w:color w:val="000000"/>
                <w:sz w:val="20"/>
                <w:szCs w:val="20"/>
                <w:lang w:val="en-GB" w:eastAsia="en-GB"/>
              </w:rPr>
            </w:pPr>
            <w:r w:rsidRPr="005113D5">
              <w:rPr>
                <w:rFonts w:ascii="Arial" w:eastAsia="Times New Roman" w:hAnsi="Arial" w:cs="Arial"/>
                <w:b/>
                <w:bCs/>
                <w:color w:val="000000"/>
                <w:sz w:val="20"/>
                <w:szCs w:val="20"/>
                <w:lang w:val="en-GB" w:eastAsia="en-GB"/>
              </w:rPr>
              <w:t>Yes</w:t>
            </w:r>
          </w:p>
        </w:tc>
        <w:tc>
          <w:tcPr>
            <w:tcW w:w="1302" w:type="dxa"/>
            <w:tcBorders>
              <w:top w:val="single" w:sz="4" w:space="0" w:color="FFFFFF"/>
              <w:left w:val="single" w:sz="4" w:space="0" w:color="auto"/>
              <w:bottom w:val="single" w:sz="4" w:space="0" w:color="FFFFFF"/>
              <w:right w:val="single" w:sz="4" w:space="0" w:color="FFFFFF"/>
            </w:tcBorders>
            <w:shd w:val="clear" w:color="000000" w:fill="FFFFFF"/>
            <w:noWrap/>
            <w:vAlign w:val="bottom"/>
            <w:hideMark/>
          </w:tcPr>
          <w:p w14:paraId="79DFA02A" w14:textId="77777777" w:rsidR="005113D5" w:rsidRPr="005113D5" w:rsidRDefault="005113D5" w:rsidP="005113D5">
            <w:pPr>
              <w:spacing w:after="0" w:line="240" w:lineRule="auto"/>
              <w:jc w:val="center"/>
              <w:rPr>
                <w:rFonts w:ascii="Arial" w:eastAsia="Times New Roman" w:hAnsi="Arial" w:cs="Arial"/>
                <w:color w:val="757171"/>
                <w:sz w:val="20"/>
                <w:szCs w:val="20"/>
                <w:lang w:val="en-GB" w:eastAsia="en-GB"/>
              </w:rPr>
            </w:pPr>
            <w:r w:rsidRPr="005113D5">
              <w:rPr>
                <w:rFonts w:ascii="Arial" w:eastAsia="Times New Roman" w:hAnsi="Arial" w:cs="Arial"/>
                <w:color w:val="757171"/>
                <w:sz w:val="20"/>
                <w:szCs w:val="20"/>
                <w:lang w:val="en-GB" w:eastAsia="en-GB"/>
              </w:rPr>
              <w:t>102</w:t>
            </w:r>
          </w:p>
        </w:tc>
        <w:tc>
          <w:tcPr>
            <w:tcW w:w="1339" w:type="dxa"/>
            <w:tcBorders>
              <w:top w:val="single" w:sz="4" w:space="0" w:color="FFFFFF"/>
              <w:left w:val="single" w:sz="4" w:space="0" w:color="FFFFFF"/>
              <w:bottom w:val="single" w:sz="4" w:space="0" w:color="FFFFFF"/>
              <w:right w:val="single" w:sz="4" w:space="0" w:color="auto"/>
            </w:tcBorders>
            <w:shd w:val="clear" w:color="000000" w:fill="FFFFFF"/>
            <w:noWrap/>
            <w:vAlign w:val="bottom"/>
            <w:hideMark/>
          </w:tcPr>
          <w:p w14:paraId="13105DAD" w14:textId="77777777" w:rsidR="005113D5" w:rsidRPr="005113D5" w:rsidRDefault="005113D5" w:rsidP="005113D5">
            <w:pPr>
              <w:spacing w:after="0" w:line="240" w:lineRule="auto"/>
              <w:jc w:val="center"/>
              <w:rPr>
                <w:rFonts w:ascii="Arial" w:eastAsia="Times New Roman" w:hAnsi="Arial" w:cs="Arial"/>
                <w:color w:val="757171"/>
                <w:sz w:val="20"/>
                <w:szCs w:val="20"/>
                <w:lang w:val="en-GB" w:eastAsia="en-GB"/>
              </w:rPr>
            </w:pPr>
            <w:r w:rsidRPr="005113D5">
              <w:rPr>
                <w:rFonts w:ascii="Arial" w:eastAsia="Times New Roman" w:hAnsi="Arial" w:cs="Arial"/>
                <w:color w:val="757171"/>
                <w:sz w:val="20"/>
                <w:szCs w:val="20"/>
                <w:lang w:val="en-GB" w:eastAsia="en-GB"/>
              </w:rPr>
              <w:t>82%</w:t>
            </w:r>
          </w:p>
        </w:tc>
        <w:tc>
          <w:tcPr>
            <w:tcW w:w="1223" w:type="dxa"/>
            <w:tcBorders>
              <w:top w:val="single" w:sz="4" w:space="0" w:color="FFFFFF"/>
              <w:left w:val="single" w:sz="4" w:space="0" w:color="FFFFFF"/>
              <w:bottom w:val="single" w:sz="4" w:space="0" w:color="FFFFFF"/>
              <w:right w:val="single" w:sz="4" w:space="0" w:color="FFFFFF"/>
            </w:tcBorders>
            <w:shd w:val="clear" w:color="000000" w:fill="FFFFFF"/>
            <w:noWrap/>
            <w:vAlign w:val="bottom"/>
            <w:hideMark/>
          </w:tcPr>
          <w:p w14:paraId="75E67768" w14:textId="77777777" w:rsidR="005113D5" w:rsidRPr="005113D5" w:rsidRDefault="005113D5" w:rsidP="005113D5">
            <w:pPr>
              <w:spacing w:after="0" w:line="240" w:lineRule="auto"/>
              <w:jc w:val="center"/>
              <w:rPr>
                <w:rFonts w:ascii="Arial" w:eastAsia="Times New Roman" w:hAnsi="Arial" w:cs="Arial"/>
                <w:color w:val="757171"/>
                <w:sz w:val="20"/>
                <w:szCs w:val="20"/>
                <w:lang w:val="en-GB" w:eastAsia="en-GB"/>
              </w:rPr>
            </w:pPr>
            <w:r w:rsidRPr="005113D5">
              <w:rPr>
                <w:rFonts w:ascii="Arial" w:eastAsia="Times New Roman" w:hAnsi="Arial" w:cs="Arial"/>
                <w:color w:val="757171"/>
                <w:sz w:val="20"/>
                <w:szCs w:val="20"/>
                <w:lang w:val="en-GB" w:eastAsia="en-GB"/>
              </w:rPr>
              <w:t>116</w:t>
            </w:r>
          </w:p>
        </w:tc>
        <w:tc>
          <w:tcPr>
            <w:tcW w:w="1284" w:type="dxa"/>
            <w:tcBorders>
              <w:top w:val="single" w:sz="4" w:space="0" w:color="FFFFFF"/>
              <w:left w:val="single" w:sz="4" w:space="0" w:color="FFFFFF"/>
              <w:bottom w:val="single" w:sz="4" w:space="0" w:color="FFFFFF"/>
              <w:right w:val="single" w:sz="4" w:space="0" w:color="auto"/>
            </w:tcBorders>
            <w:shd w:val="clear" w:color="000000" w:fill="FFFFFF"/>
            <w:noWrap/>
            <w:vAlign w:val="bottom"/>
            <w:hideMark/>
          </w:tcPr>
          <w:p w14:paraId="257FCE83" w14:textId="77777777" w:rsidR="005113D5" w:rsidRPr="005113D5" w:rsidRDefault="005113D5" w:rsidP="005113D5">
            <w:pPr>
              <w:spacing w:after="0" w:line="240" w:lineRule="auto"/>
              <w:jc w:val="center"/>
              <w:rPr>
                <w:rFonts w:ascii="Arial" w:eastAsia="Times New Roman" w:hAnsi="Arial" w:cs="Arial"/>
                <w:color w:val="757171"/>
                <w:sz w:val="20"/>
                <w:szCs w:val="20"/>
                <w:lang w:val="en-GB" w:eastAsia="en-GB"/>
              </w:rPr>
            </w:pPr>
            <w:r w:rsidRPr="005113D5">
              <w:rPr>
                <w:rFonts w:ascii="Arial" w:eastAsia="Times New Roman" w:hAnsi="Arial" w:cs="Arial"/>
                <w:color w:val="757171"/>
                <w:sz w:val="20"/>
                <w:szCs w:val="20"/>
                <w:lang w:val="en-GB" w:eastAsia="en-GB"/>
              </w:rPr>
              <w:t>94%</w:t>
            </w:r>
          </w:p>
        </w:tc>
        <w:tc>
          <w:tcPr>
            <w:tcW w:w="1283" w:type="dxa"/>
            <w:tcBorders>
              <w:top w:val="single" w:sz="4" w:space="0" w:color="FFFFFF"/>
              <w:left w:val="single" w:sz="4" w:space="0" w:color="auto"/>
              <w:bottom w:val="single" w:sz="4" w:space="0" w:color="FFFFFF"/>
              <w:right w:val="single" w:sz="4" w:space="0" w:color="FFFFFF"/>
            </w:tcBorders>
            <w:shd w:val="clear" w:color="000000" w:fill="FFFFFF"/>
            <w:noWrap/>
            <w:vAlign w:val="bottom"/>
            <w:hideMark/>
          </w:tcPr>
          <w:p w14:paraId="332249A3" w14:textId="77777777" w:rsidR="005113D5" w:rsidRPr="005113D5" w:rsidRDefault="005113D5" w:rsidP="005113D5">
            <w:pPr>
              <w:spacing w:after="0" w:line="240" w:lineRule="auto"/>
              <w:jc w:val="center"/>
              <w:rPr>
                <w:rFonts w:ascii="Arial" w:eastAsia="Times New Roman" w:hAnsi="Arial" w:cs="Arial"/>
                <w:color w:val="757171"/>
                <w:sz w:val="20"/>
                <w:szCs w:val="20"/>
                <w:lang w:val="en-GB" w:eastAsia="en-GB"/>
              </w:rPr>
            </w:pPr>
            <w:r w:rsidRPr="005113D5">
              <w:rPr>
                <w:rFonts w:ascii="Arial" w:eastAsia="Times New Roman" w:hAnsi="Arial" w:cs="Arial"/>
                <w:color w:val="757171"/>
                <w:sz w:val="20"/>
                <w:szCs w:val="20"/>
                <w:lang w:val="en-GB" w:eastAsia="en-GB"/>
              </w:rPr>
              <w:t>10</w:t>
            </w:r>
          </w:p>
        </w:tc>
        <w:tc>
          <w:tcPr>
            <w:tcW w:w="1394" w:type="dxa"/>
            <w:tcBorders>
              <w:top w:val="single" w:sz="4" w:space="0" w:color="FFFFFF"/>
              <w:left w:val="single" w:sz="4" w:space="0" w:color="FFFFFF"/>
              <w:bottom w:val="single" w:sz="4" w:space="0" w:color="FFFFFF"/>
              <w:right w:val="single" w:sz="4" w:space="0" w:color="FFFFFF"/>
            </w:tcBorders>
            <w:shd w:val="clear" w:color="000000" w:fill="FFFFFF"/>
            <w:noWrap/>
            <w:vAlign w:val="bottom"/>
            <w:hideMark/>
          </w:tcPr>
          <w:p w14:paraId="456FC815" w14:textId="77777777" w:rsidR="005113D5" w:rsidRPr="005113D5" w:rsidRDefault="005113D5" w:rsidP="005113D5">
            <w:pPr>
              <w:spacing w:after="0" w:line="240" w:lineRule="auto"/>
              <w:jc w:val="center"/>
              <w:rPr>
                <w:rFonts w:ascii="Arial" w:eastAsia="Times New Roman" w:hAnsi="Arial" w:cs="Arial"/>
                <w:color w:val="757171"/>
                <w:sz w:val="20"/>
                <w:szCs w:val="20"/>
                <w:lang w:val="en-GB" w:eastAsia="en-GB"/>
              </w:rPr>
            </w:pPr>
            <w:r w:rsidRPr="005113D5">
              <w:rPr>
                <w:rFonts w:ascii="Arial" w:eastAsia="Times New Roman" w:hAnsi="Arial" w:cs="Arial"/>
                <w:color w:val="757171"/>
                <w:sz w:val="20"/>
                <w:szCs w:val="20"/>
                <w:lang w:val="en-GB" w:eastAsia="en-GB"/>
              </w:rPr>
              <w:t>8%</w:t>
            </w:r>
          </w:p>
        </w:tc>
      </w:tr>
      <w:tr w:rsidR="005113D5" w:rsidRPr="005113D5" w14:paraId="7AE86A9C" w14:textId="77777777" w:rsidTr="005113D5">
        <w:trPr>
          <w:trHeight w:val="255"/>
        </w:trPr>
        <w:tc>
          <w:tcPr>
            <w:tcW w:w="1305" w:type="dxa"/>
            <w:tcBorders>
              <w:top w:val="single" w:sz="4" w:space="0" w:color="FFFFFF"/>
              <w:left w:val="single" w:sz="4" w:space="0" w:color="FFFFFF"/>
              <w:bottom w:val="single" w:sz="4" w:space="0" w:color="FFFFFF"/>
              <w:right w:val="single" w:sz="4" w:space="0" w:color="FFFFFF"/>
            </w:tcBorders>
            <w:shd w:val="clear" w:color="000000" w:fill="FF7D67"/>
            <w:noWrap/>
            <w:vAlign w:val="bottom"/>
            <w:hideMark/>
          </w:tcPr>
          <w:p w14:paraId="14202DAA" w14:textId="77777777" w:rsidR="005113D5" w:rsidRPr="005113D5" w:rsidRDefault="005113D5" w:rsidP="005113D5">
            <w:pPr>
              <w:spacing w:after="0" w:line="240" w:lineRule="auto"/>
              <w:jc w:val="center"/>
              <w:rPr>
                <w:rFonts w:ascii="Arial" w:eastAsia="Times New Roman" w:hAnsi="Arial" w:cs="Arial"/>
                <w:b/>
                <w:bCs/>
                <w:color w:val="000000"/>
                <w:sz w:val="20"/>
                <w:szCs w:val="20"/>
                <w:lang w:val="en-GB" w:eastAsia="en-GB"/>
              </w:rPr>
            </w:pPr>
            <w:r w:rsidRPr="005113D5">
              <w:rPr>
                <w:rFonts w:ascii="Arial" w:eastAsia="Times New Roman" w:hAnsi="Arial" w:cs="Arial"/>
                <w:b/>
                <w:bCs/>
                <w:color w:val="000000"/>
                <w:sz w:val="20"/>
                <w:szCs w:val="20"/>
                <w:lang w:val="en-GB" w:eastAsia="en-GB"/>
              </w:rPr>
              <w:t>No</w:t>
            </w:r>
          </w:p>
        </w:tc>
        <w:tc>
          <w:tcPr>
            <w:tcW w:w="1302" w:type="dxa"/>
            <w:tcBorders>
              <w:top w:val="single" w:sz="4" w:space="0" w:color="FFFFFF"/>
              <w:left w:val="single" w:sz="4" w:space="0" w:color="auto"/>
              <w:bottom w:val="single" w:sz="4" w:space="0" w:color="FFFFFF"/>
              <w:right w:val="single" w:sz="4" w:space="0" w:color="FFFFFF"/>
            </w:tcBorders>
            <w:shd w:val="clear" w:color="000000" w:fill="FFFFFF"/>
            <w:noWrap/>
            <w:vAlign w:val="bottom"/>
            <w:hideMark/>
          </w:tcPr>
          <w:p w14:paraId="31848D21" w14:textId="77777777" w:rsidR="005113D5" w:rsidRPr="005113D5" w:rsidRDefault="005113D5" w:rsidP="005113D5">
            <w:pPr>
              <w:spacing w:after="0" w:line="240" w:lineRule="auto"/>
              <w:jc w:val="center"/>
              <w:rPr>
                <w:rFonts w:ascii="Arial" w:eastAsia="Times New Roman" w:hAnsi="Arial" w:cs="Arial"/>
                <w:color w:val="757171"/>
                <w:sz w:val="20"/>
                <w:szCs w:val="20"/>
                <w:lang w:val="en-GB" w:eastAsia="en-GB"/>
              </w:rPr>
            </w:pPr>
            <w:r w:rsidRPr="005113D5">
              <w:rPr>
                <w:rFonts w:ascii="Arial" w:eastAsia="Times New Roman" w:hAnsi="Arial" w:cs="Arial"/>
                <w:color w:val="757171"/>
                <w:sz w:val="20"/>
                <w:szCs w:val="20"/>
                <w:lang w:val="en-GB" w:eastAsia="en-GB"/>
              </w:rPr>
              <w:t>22</w:t>
            </w:r>
          </w:p>
        </w:tc>
        <w:tc>
          <w:tcPr>
            <w:tcW w:w="1339" w:type="dxa"/>
            <w:tcBorders>
              <w:top w:val="single" w:sz="4" w:space="0" w:color="FFFFFF"/>
              <w:left w:val="single" w:sz="4" w:space="0" w:color="FFFFFF"/>
              <w:bottom w:val="single" w:sz="4" w:space="0" w:color="FFFFFF"/>
              <w:right w:val="single" w:sz="4" w:space="0" w:color="auto"/>
            </w:tcBorders>
            <w:shd w:val="clear" w:color="000000" w:fill="FFFFFF"/>
            <w:noWrap/>
            <w:vAlign w:val="bottom"/>
            <w:hideMark/>
          </w:tcPr>
          <w:p w14:paraId="4526F192" w14:textId="77777777" w:rsidR="005113D5" w:rsidRPr="005113D5" w:rsidRDefault="005113D5" w:rsidP="005113D5">
            <w:pPr>
              <w:spacing w:after="0" w:line="240" w:lineRule="auto"/>
              <w:jc w:val="center"/>
              <w:rPr>
                <w:rFonts w:ascii="Arial" w:eastAsia="Times New Roman" w:hAnsi="Arial" w:cs="Arial"/>
                <w:color w:val="757171"/>
                <w:sz w:val="20"/>
                <w:szCs w:val="20"/>
                <w:lang w:val="en-GB" w:eastAsia="en-GB"/>
              </w:rPr>
            </w:pPr>
            <w:r w:rsidRPr="005113D5">
              <w:rPr>
                <w:rFonts w:ascii="Arial" w:eastAsia="Times New Roman" w:hAnsi="Arial" w:cs="Arial"/>
                <w:color w:val="757171"/>
                <w:sz w:val="20"/>
                <w:szCs w:val="20"/>
                <w:lang w:val="en-GB" w:eastAsia="en-GB"/>
              </w:rPr>
              <w:t>18%</w:t>
            </w:r>
          </w:p>
        </w:tc>
        <w:tc>
          <w:tcPr>
            <w:tcW w:w="1223" w:type="dxa"/>
            <w:tcBorders>
              <w:top w:val="single" w:sz="4" w:space="0" w:color="FFFFFF"/>
              <w:left w:val="single" w:sz="4" w:space="0" w:color="FFFFFF"/>
              <w:bottom w:val="single" w:sz="4" w:space="0" w:color="FFFFFF"/>
              <w:right w:val="single" w:sz="4" w:space="0" w:color="FFFFFF"/>
            </w:tcBorders>
            <w:shd w:val="clear" w:color="000000" w:fill="FFFFFF"/>
            <w:noWrap/>
            <w:vAlign w:val="bottom"/>
            <w:hideMark/>
          </w:tcPr>
          <w:p w14:paraId="020E4BEE" w14:textId="77777777" w:rsidR="005113D5" w:rsidRPr="005113D5" w:rsidRDefault="005113D5" w:rsidP="005113D5">
            <w:pPr>
              <w:spacing w:after="0" w:line="240" w:lineRule="auto"/>
              <w:jc w:val="center"/>
              <w:rPr>
                <w:rFonts w:ascii="Arial" w:eastAsia="Times New Roman" w:hAnsi="Arial" w:cs="Arial"/>
                <w:color w:val="757171"/>
                <w:sz w:val="20"/>
                <w:szCs w:val="20"/>
                <w:lang w:val="en-GB" w:eastAsia="en-GB"/>
              </w:rPr>
            </w:pPr>
            <w:r w:rsidRPr="005113D5">
              <w:rPr>
                <w:rFonts w:ascii="Arial" w:eastAsia="Times New Roman" w:hAnsi="Arial" w:cs="Arial"/>
                <w:color w:val="757171"/>
                <w:sz w:val="20"/>
                <w:szCs w:val="20"/>
                <w:lang w:val="en-GB" w:eastAsia="en-GB"/>
              </w:rPr>
              <w:t>8</w:t>
            </w:r>
          </w:p>
        </w:tc>
        <w:tc>
          <w:tcPr>
            <w:tcW w:w="1284" w:type="dxa"/>
            <w:tcBorders>
              <w:top w:val="single" w:sz="4" w:space="0" w:color="FFFFFF"/>
              <w:left w:val="single" w:sz="4" w:space="0" w:color="FFFFFF"/>
              <w:bottom w:val="single" w:sz="4" w:space="0" w:color="FFFFFF"/>
              <w:right w:val="single" w:sz="4" w:space="0" w:color="auto"/>
            </w:tcBorders>
            <w:shd w:val="clear" w:color="000000" w:fill="FFFFFF"/>
            <w:noWrap/>
            <w:vAlign w:val="bottom"/>
            <w:hideMark/>
          </w:tcPr>
          <w:p w14:paraId="79838D6C" w14:textId="77777777" w:rsidR="005113D5" w:rsidRPr="005113D5" w:rsidRDefault="005113D5" w:rsidP="005113D5">
            <w:pPr>
              <w:spacing w:after="0" w:line="240" w:lineRule="auto"/>
              <w:jc w:val="center"/>
              <w:rPr>
                <w:rFonts w:ascii="Arial" w:eastAsia="Times New Roman" w:hAnsi="Arial" w:cs="Arial"/>
                <w:color w:val="757171"/>
                <w:sz w:val="20"/>
                <w:szCs w:val="20"/>
                <w:lang w:val="en-GB" w:eastAsia="en-GB"/>
              </w:rPr>
            </w:pPr>
            <w:r w:rsidRPr="005113D5">
              <w:rPr>
                <w:rFonts w:ascii="Arial" w:eastAsia="Times New Roman" w:hAnsi="Arial" w:cs="Arial"/>
                <w:color w:val="757171"/>
                <w:sz w:val="20"/>
                <w:szCs w:val="20"/>
                <w:lang w:val="en-GB" w:eastAsia="en-GB"/>
              </w:rPr>
              <w:t>6%</w:t>
            </w:r>
          </w:p>
        </w:tc>
        <w:tc>
          <w:tcPr>
            <w:tcW w:w="1283" w:type="dxa"/>
            <w:tcBorders>
              <w:top w:val="single" w:sz="4" w:space="0" w:color="FFFFFF"/>
              <w:left w:val="single" w:sz="4" w:space="0" w:color="auto"/>
              <w:bottom w:val="single" w:sz="4" w:space="0" w:color="FFFFFF"/>
              <w:right w:val="single" w:sz="4" w:space="0" w:color="FFFFFF"/>
            </w:tcBorders>
            <w:shd w:val="clear" w:color="000000" w:fill="FFFFFF"/>
            <w:noWrap/>
            <w:vAlign w:val="bottom"/>
            <w:hideMark/>
          </w:tcPr>
          <w:p w14:paraId="46D56FA2" w14:textId="77777777" w:rsidR="005113D5" w:rsidRPr="005113D5" w:rsidRDefault="005113D5" w:rsidP="005113D5">
            <w:pPr>
              <w:spacing w:after="0" w:line="240" w:lineRule="auto"/>
              <w:jc w:val="center"/>
              <w:rPr>
                <w:rFonts w:ascii="Arial" w:eastAsia="Times New Roman" w:hAnsi="Arial" w:cs="Arial"/>
                <w:color w:val="757171"/>
                <w:sz w:val="20"/>
                <w:szCs w:val="20"/>
                <w:lang w:val="en-GB" w:eastAsia="en-GB"/>
              </w:rPr>
            </w:pPr>
            <w:r w:rsidRPr="005113D5">
              <w:rPr>
                <w:rFonts w:ascii="Arial" w:eastAsia="Times New Roman" w:hAnsi="Arial" w:cs="Arial"/>
                <w:color w:val="757171"/>
                <w:sz w:val="20"/>
                <w:szCs w:val="20"/>
                <w:lang w:val="en-GB" w:eastAsia="en-GB"/>
              </w:rPr>
              <w:t>114</w:t>
            </w:r>
          </w:p>
        </w:tc>
        <w:tc>
          <w:tcPr>
            <w:tcW w:w="1394" w:type="dxa"/>
            <w:tcBorders>
              <w:top w:val="single" w:sz="4" w:space="0" w:color="FFFFFF"/>
              <w:left w:val="single" w:sz="4" w:space="0" w:color="FFFFFF"/>
              <w:bottom w:val="single" w:sz="4" w:space="0" w:color="FFFFFF"/>
              <w:right w:val="single" w:sz="4" w:space="0" w:color="FFFFFF"/>
            </w:tcBorders>
            <w:shd w:val="clear" w:color="000000" w:fill="FFFFFF"/>
            <w:noWrap/>
            <w:vAlign w:val="bottom"/>
            <w:hideMark/>
          </w:tcPr>
          <w:p w14:paraId="05286CF3" w14:textId="77777777" w:rsidR="005113D5" w:rsidRPr="005113D5" w:rsidRDefault="005113D5" w:rsidP="005113D5">
            <w:pPr>
              <w:spacing w:after="0" w:line="240" w:lineRule="auto"/>
              <w:jc w:val="center"/>
              <w:rPr>
                <w:rFonts w:ascii="Arial" w:eastAsia="Times New Roman" w:hAnsi="Arial" w:cs="Arial"/>
                <w:color w:val="757171"/>
                <w:sz w:val="20"/>
                <w:szCs w:val="20"/>
                <w:lang w:val="en-GB" w:eastAsia="en-GB"/>
              </w:rPr>
            </w:pPr>
            <w:r w:rsidRPr="005113D5">
              <w:rPr>
                <w:rFonts w:ascii="Arial" w:eastAsia="Times New Roman" w:hAnsi="Arial" w:cs="Arial"/>
                <w:color w:val="757171"/>
                <w:sz w:val="20"/>
                <w:szCs w:val="20"/>
                <w:lang w:val="en-GB" w:eastAsia="en-GB"/>
              </w:rPr>
              <w:t>92%</w:t>
            </w:r>
          </w:p>
        </w:tc>
      </w:tr>
      <w:tr w:rsidR="005113D5" w:rsidRPr="005113D5" w14:paraId="3DBCA757" w14:textId="77777777" w:rsidTr="005113D5">
        <w:trPr>
          <w:trHeight w:val="255"/>
        </w:trPr>
        <w:tc>
          <w:tcPr>
            <w:tcW w:w="1305" w:type="dxa"/>
            <w:tcBorders>
              <w:top w:val="single" w:sz="4" w:space="0" w:color="757171"/>
              <w:left w:val="single" w:sz="4" w:space="0" w:color="757171"/>
              <w:bottom w:val="single" w:sz="4" w:space="0" w:color="757171"/>
              <w:right w:val="single" w:sz="4" w:space="0" w:color="757171"/>
            </w:tcBorders>
            <w:shd w:val="clear" w:color="FFFFFF" w:fill="F2F2F2"/>
            <w:noWrap/>
            <w:vAlign w:val="bottom"/>
            <w:hideMark/>
          </w:tcPr>
          <w:p w14:paraId="414ED5B0" w14:textId="77777777" w:rsidR="005113D5" w:rsidRPr="005113D5" w:rsidRDefault="005113D5" w:rsidP="005113D5">
            <w:pPr>
              <w:spacing w:after="0" w:line="240" w:lineRule="auto"/>
              <w:jc w:val="center"/>
              <w:rPr>
                <w:rFonts w:ascii="Arial" w:eastAsia="Times New Roman" w:hAnsi="Arial" w:cs="Arial"/>
                <w:b/>
                <w:bCs/>
                <w:color w:val="000000"/>
                <w:sz w:val="20"/>
                <w:szCs w:val="20"/>
                <w:lang w:val="en-GB" w:eastAsia="en-GB"/>
              </w:rPr>
            </w:pPr>
            <w:r w:rsidRPr="005113D5">
              <w:rPr>
                <w:rFonts w:ascii="Arial" w:eastAsia="Times New Roman" w:hAnsi="Arial" w:cs="Arial"/>
                <w:b/>
                <w:bCs/>
                <w:color w:val="000000"/>
                <w:sz w:val="20"/>
                <w:szCs w:val="20"/>
                <w:lang w:val="en-GB" w:eastAsia="en-GB"/>
              </w:rPr>
              <w:t>Total</w:t>
            </w:r>
          </w:p>
        </w:tc>
        <w:tc>
          <w:tcPr>
            <w:tcW w:w="1302" w:type="dxa"/>
            <w:tcBorders>
              <w:top w:val="single" w:sz="4" w:space="0" w:color="757171"/>
              <w:left w:val="single" w:sz="4" w:space="0" w:color="auto"/>
              <w:bottom w:val="single" w:sz="4" w:space="0" w:color="757171"/>
              <w:right w:val="single" w:sz="4" w:space="0" w:color="FFFFFF"/>
            </w:tcBorders>
            <w:shd w:val="clear" w:color="000000" w:fill="FFFFFF"/>
            <w:noWrap/>
            <w:vAlign w:val="bottom"/>
            <w:hideMark/>
          </w:tcPr>
          <w:p w14:paraId="086893E3" w14:textId="77777777" w:rsidR="005113D5" w:rsidRPr="005113D5" w:rsidRDefault="005113D5" w:rsidP="005113D5">
            <w:pPr>
              <w:spacing w:after="0" w:line="240" w:lineRule="auto"/>
              <w:jc w:val="center"/>
              <w:rPr>
                <w:rFonts w:ascii="Arial" w:eastAsia="Times New Roman" w:hAnsi="Arial" w:cs="Arial"/>
                <w:b/>
                <w:bCs/>
                <w:color w:val="000000"/>
                <w:sz w:val="20"/>
                <w:szCs w:val="20"/>
                <w:lang w:val="en-GB" w:eastAsia="en-GB"/>
              </w:rPr>
            </w:pPr>
            <w:r w:rsidRPr="005113D5">
              <w:rPr>
                <w:rFonts w:ascii="Arial" w:eastAsia="Times New Roman" w:hAnsi="Arial" w:cs="Arial"/>
                <w:b/>
                <w:bCs/>
                <w:color w:val="000000"/>
                <w:sz w:val="20"/>
                <w:szCs w:val="20"/>
                <w:lang w:val="en-GB" w:eastAsia="en-GB"/>
              </w:rPr>
              <w:t>124</w:t>
            </w:r>
          </w:p>
        </w:tc>
        <w:tc>
          <w:tcPr>
            <w:tcW w:w="1339" w:type="dxa"/>
            <w:tcBorders>
              <w:top w:val="single" w:sz="4" w:space="0" w:color="757171"/>
              <w:left w:val="single" w:sz="4" w:space="0" w:color="FFFFFF"/>
              <w:bottom w:val="single" w:sz="4" w:space="0" w:color="757171"/>
              <w:right w:val="single" w:sz="4" w:space="0" w:color="auto"/>
            </w:tcBorders>
            <w:shd w:val="clear" w:color="000000" w:fill="FFFFFF"/>
            <w:noWrap/>
            <w:vAlign w:val="bottom"/>
            <w:hideMark/>
          </w:tcPr>
          <w:p w14:paraId="2EFE21DD" w14:textId="77777777" w:rsidR="005113D5" w:rsidRPr="005113D5" w:rsidRDefault="005113D5" w:rsidP="005113D5">
            <w:pPr>
              <w:spacing w:after="0" w:line="240" w:lineRule="auto"/>
              <w:jc w:val="center"/>
              <w:rPr>
                <w:rFonts w:ascii="Arial" w:eastAsia="Times New Roman" w:hAnsi="Arial" w:cs="Arial"/>
                <w:b/>
                <w:bCs/>
                <w:color w:val="000000"/>
                <w:sz w:val="20"/>
                <w:szCs w:val="20"/>
                <w:lang w:val="en-GB" w:eastAsia="en-GB"/>
              </w:rPr>
            </w:pPr>
            <w:r w:rsidRPr="005113D5">
              <w:rPr>
                <w:rFonts w:ascii="Arial" w:eastAsia="Times New Roman" w:hAnsi="Arial" w:cs="Arial"/>
                <w:b/>
                <w:bCs/>
                <w:color w:val="000000"/>
                <w:sz w:val="20"/>
                <w:szCs w:val="20"/>
                <w:lang w:val="en-GB" w:eastAsia="en-GB"/>
              </w:rPr>
              <w:t>100%</w:t>
            </w:r>
          </w:p>
        </w:tc>
        <w:tc>
          <w:tcPr>
            <w:tcW w:w="1223" w:type="dxa"/>
            <w:tcBorders>
              <w:top w:val="single" w:sz="4" w:space="0" w:color="757171"/>
              <w:left w:val="single" w:sz="4" w:space="0" w:color="FFFFFF"/>
              <w:bottom w:val="single" w:sz="4" w:space="0" w:color="757171"/>
              <w:right w:val="single" w:sz="4" w:space="0" w:color="FFFFFF"/>
            </w:tcBorders>
            <w:shd w:val="clear" w:color="000000" w:fill="FFFFFF"/>
            <w:noWrap/>
            <w:vAlign w:val="bottom"/>
            <w:hideMark/>
          </w:tcPr>
          <w:p w14:paraId="6665F02D" w14:textId="77777777" w:rsidR="005113D5" w:rsidRPr="005113D5" w:rsidRDefault="005113D5" w:rsidP="005113D5">
            <w:pPr>
              <w:spacing w:after="0" w:line="240" w:lineRule="auto"/>
              <w:jc w:val="center"/>
              <w:rPr>
                <w:rFonts w:ascii="Arial" w:eastAsia="Times New Roman" w:hAnsi="Arial" w:cs="Arial"/>
                <w:b/>
                <w:bCs/>
                <w:color w:val="000000"/>
                <w:sz w:val="20"/>
                <w:szCs w:val="20"/>
                <w:lang w:val="en-GB" w:eastAsia="en-GB"/>
              </w:rPr>
            </w:pPr>
            <w:r w:rsidRPr="005113D5">
              <w:rPr>
                <w:rFonts w:ascii="Arial" w:eastAsia="Times New Roman" w:hAnsi="Arial" w:cs="Arial"/>
                <w:b/>
                <w:bCs/>
                <w:color w:val="000000"/>
                <w:sz w:val="20"/>
                <w:szCs w:val="20"/>
                <w:lang w:val="en-GB" w:eastAsia="en-GB"/>
              </w:rPr>
              <w:t>124</w:t>
            </w:r>
          </w:p>
        </w:tc>
        <w:tc>
          <w:tcPr>
            <w:tcW w:w="1284" w:type="dxa"/>
            <w:tcBorders>
              <w:top w:val="single" w:sz="4" w:space="0" w:color="757171"/>
              <w:left w:val="single" w:sz="4" w:space="0" w:color="FFFFFF"/>
              <w:bottom w:val="single" w:sz="4" w:space="0" w:color="757171"/>
              <w:right w:val="single" w:sz="4" w:space="0" w:color="auto"/>
            </w:tcBorders>
            <w:shd w:val="clear" w:color="000000" w:fill="FFFFFF"/>
            <w:noWrap/>
            <w:vAlign w:val="bottom"/>
            <w:hideMark/>
          </w:tcPr>
          <w:p w14:paraId="6FBBE6D4" w14:textId="77777777" w:rsidR="005113D5" w:rsidRPr="005113D5" w:rsidRDefault="005113D5" w:rsidP="005113D5">
            <w:pPr>
              <w:spacing w:after="0" w:line="240" w:lineRule="auto"/>
              <w:jc w:val="center"/>
              <w:rPr>
                <w:rFonts w:ascii="Arial" w:eastAsia="Times New Roman" w:hAnsi="Arial" w:cs="Arial"/>
                <w:b/>
                <w:bCs/>
                <w:color w:val="000000"/>
                <w:sz w:val="20"/>
                <w:szCs w:val="20"/>
                <w:lang w:val="en-GB" w:eastAsia="en-GB"/>
              </w:rPr>
            </w:pPr>
            <w:r w:rsidRPr="005113D5">
              <w:rPr>
                <w:rFonts w:ascii="Arial" w:eastAsia="Times New Roman" w:hAnsi="Arial" w:cs="Arial"/>
                <w:b/>
                <w:bCs/>
                <w:color w:val="000000"/>
                <w:sz w:val="20"/>
                <w:szCs w:val="20"/>
                <w:lang w:val="en-GB" w:eastAsia="en-GB"/>
              </w:rPr>
              <w:t>100%</w:t>
            </w:r>
          </w:p>
        </w:tc>
        <w:tc>
          <w:tcPr>
            <w:tcW w:w="1283" w:type="dxa"/>
            <w:tcBorders>
              <w:top w:val="single" w:sz="4" w:space="0" w:color="757171"/>
              <w:left w:val="single" w:sz="4" w:space="0" w:color="auto"/>
              <w:bottom w:val="single" w:sz="4" w:space="0" w:color="757171"/>
              <w:right w:val="single" w:sz="4" w:space="0" w:color="FFFFFF"/>
            </w:tcBorders>
            <w:shd w:val="clear" w:color="000000" w:fill="FFFFFF"/>
            <w:noWrap/>
            <w:vAlign w:val="bottom"/>
            <w:hideMark/>
          </w:tcPr>
          <w:p w14:paraId="16935638" w14:textId="77777777" w:rsidR="005113D5" w:rsidRPr="005113D5" w:rsidRDefault="005113D5" w:rsidP="005113D5">
            <w:pPr>
              <w:spacing w:after="0" w:line="240" w:lineRule="auto"/>
              <w:jc w:val="center"/>
              <w:rPr>
                <w:rFonts w:ascii="Arial" w:eastAsia="Times New Roman" w:hAnsi="Arial" w:cs="Arial"/>
                <w:b/>
                <w:bCs/>
                <w:color w:val="000000"/>
                <w:sz w:val="20"/>
                <w:szCs w:val="20"/>
                <w:lang w:val="en-GB" w:eastAsia="en-GB"/>
              </w:rPr>
            </w:pPr>
            <w:r w:rsidRPr="005113D5">
              <w:rPr>
                <w:rFonts w:ascii="Arial" w:eastAsia="Times New Roman" w:hAnsi="Arial" w:cs="Arial"/>
                <w:b/>
                <w:bCs/>
                <w:color w:val="000000"/>
                <w:sz w:val="20"/>
                <w:szCs w:val="20"/>
                <w:lang w:val="en-GB" w:eastAsia="en-GB"/>
              </w:rPr>
              <w:t>124</w:t>
            </w:r>
          </w:p>
        </w:tc>
        <w:tc>
          <w:tcPr>
            <w:tcW w:w="1394" w:type="dxa"/>
            <w:tcBorders>
              <w:top w:val="single" w:sz="4" w:space="0" w:color="757171"/>
              <w:left w:val="single" w:sz="4" w:space="0" w:color="FFFFFF"/>
              <w:bottom w:val="single" w:sz="4" w:space="0" w:color="757171"/>
              <w:right w:val="single" w:sz="4" w:space="0" w:color="757171"/>
            </w:tcBorders>
            <w:shd w:val="clear" w:color="000000" w:fill="FFFFFF"/>
            <w:noWrap/>
            <w:vAlign w:val="bottom"/>
            <w:hideMark/>
          </w:tcPr>
          <w:p w14:paraId="2D5F57EB" w14:textId="77777777" w:rsidR="005113D5" w:rsidRPr="005113D5" w:rsidRDefault="005113D5" w:rsidP="005113D5">
            <w:pPr>
              <w:spacing w:after="0" w:line="240" w:lineRule="auto"/>
              <w:jc w:val="center"/>
              <w:rPr>
                <w:rFonts w:ascii="Arial" w:eastAsia="Times New Roman" w:hAnsi="Arial" w:cs="Arial"/>
                <w:b/>
                <w:bCs/>
                <w:color w:val="000000"/>
                <w:sz w:val="20"/>
                <w:szCs w:val="20"/>
                <w:lang w:val="en-GB" w:eastAsia="en-GB"/>
              </w:rPr>
            </w:pPr>
            <w:r w:rsidRPr="005113D5">
              <w:rPr>
                <w:rFonts w:ascii="Arial" w:eastAsia="Times New Roman" w:hAnsi="Arial" w:cs="Arial"/>
                <w:b/>
                <w:bCs/>
                <w:color w:val="000000"/>
                <w:sz w:val="20"/>
                <w:szCs w:val="20"/>
                <w:lang w:val="en-GB" w:eastAsia="en-GB"/>
              </w:rPr>
              <w:t>100%</w:t>
            </w:r>
          </w:p>
        </w:tc>
      </w:tr>
    </w:tbl>
    <w:p w14:paraId="1AA83271" w14:textId="325084BC" w:rsidR="005113D5" w:rsidRDefault="005113D5" w:rsidP="005113D5">
      <w:pPr>
        <w:pStyle w:val="Caption"/>
      </w:pPr>
      <w:bookmarkStart w:id="103" w:name="_Toc512556867"/>
      <w:r>
        <w:t xml:space="preserve">Table </w:t>
      </w:r>
      <w:r>
        <w:fldChar w:fldCharType="begin"/>
      </w:r>
      <w:r>
        <w:instrText xml:space="preserve"> SEQ Table \* ARABIC </w:instrText>
      </w:r>
      <w:r>
        <w:fldChar w:fldCharType="separate"/>
      </w:r>
      <w:r w:rsidR="0099156B">
        <w:rPr>
          <w:noProof/>
        </w:rPr>
        <w:t>10</w:t>
      </w:r>
      <w:r>
        <w:fldChar w:fldCharType="end"/>
      </w:r>
      <w:r>
        <w:t xml:space="preserve"> – Composition of Authorities’ S167 lists</w:t>
      </w:r>
      <w:bookmarkEnd w:id="103"/>
    </w:p>
    <w:p w14:paraId="6CE11683" w14:textId="1FE905BF" w:rsidR="005113D5" w:rsidRDefault="005113D5" w:rsidP="005113D5">
      <w:r>
        <w:t xml:space="preserve">Of the 124 authorities that had produced S167 lists, 22 failed to comply with one or more of the following </w:t>
      </w:r>
      <w:r w:rsidR="00CD66F2">
        <w:t>criteria</w:t>
      </w:r>
      <w:r>
        <w:t xml:space="preserve"> identified by the statutory guidance as </w:t>
      </w:r>
      <w:r w:rsidR="00CD66F2">
        <w:t>requisite</w:t>
      </w:r>
      <w:r>
        <w:t xml:space="preserve"> </w:t>
      </w:r>
      <w:r w:rsidR="001A320D">
        <w:t>for</w:t>
      </w:r>
      <w:r>
        <w:t xml:space="preserve"> the list to be valid.</w:t>
      </w:r>
    </w:p>
    <w:p w14:paraId="4077E05D" w14:textId="638B7AD7" w:rsidR="005113D5" w:rsidRDefault="005113D5" w:rsidP="005113D5">
      <w:pPr>
        <w:pStyle w:val="ListParagraph"/>
        <w:numPr>
          <w:ilvl w:val="0"/>
          <w:numId w:val="46"/>
        </w:numPr>
      </w:pPr>
      <w:r>
        <w:t>List is published</w:t>
      </w:r>
    </w:p>
    <w:p w14:paraId="78F46BCF" w14:textId="495B5DA5" w:rsidR="005113D5" w:rsidRDefault="00CD66F2" w:rsidP="005113D5">
      <w:pPr>
        <w:pStyle w:val="ListParagraph"/>
        <w:numPr>
          <w:ilvl w:val="0"/>
          <w:numId w:val="46"/>
        </w:numPr>
      </w:pPr>
      <w:r>
        <w:t>List c</w:t>
      </w:r>
      <w:r w:rsidR="005113D5">
        <w:t>learly marked as ‘designated for the purposes of Section 165 of the Act’</w:t>
      </w:r>
    </w:p>
    <w:p w14:paraId="025FC62C" w14:textId="1B541B48" w:rsidR="005113D5" w:rsidRDefault="001A320D" w:rsidP="005113D5">
      <w:pPr>
        <w:pStyle w:val="ListParagraph"/>
        <w:numPr>
          <w:ilvl w:val="0"/>
          <w:numId w:val="46"/>
        </w:numPr>
      </w:pPr>
      <w:r>
        <w:t>Vehicle owners and drivers made aware their vehicle has been put on the list</w:t>
      </w:r>
    </w:p>
    <w:p w14:paraId="04A74704" w14:textId="413003D0" w:rsidR="001A320D" w:rsidRDefault="00CD66F2" w:rsidP="005113D5">
      <w:pPr>
        <w:pStyle w:val="ListParagraph"/>
        <w:numPr>
          <w:ilvl w:val="0"/>
          <w:numId w:val="46"/>
        </w:numPr>
      </w:pPr>
      <w:r>
        <w:t>List i</w:t>
      </w:r>
      <w:r w:rsidR="001A320D">
        <w:t>ncludes make and model of the vehicle</w:t>
      </w:r>
    </w:p>
    <w:p w14:paraId="65EF0DD3" w14:textId="4313C1C2" w:rsidR="001A320D" w:rsidRDefault="00CD66F2" w:rsidP="005113D5">
      <w:pPr>
        <w:pStyle w:val="ListParagraph"/>
        <w:numPr>
          <w:ilvl w:val="0"/>
          <w:numId w:val="46"/>
        </w:numPr>
      </w:pPr>
      <w:r>
        <w:t>List s</w:t>
      </w:r>
      <w:r w:rsidR="001A320D">
        <w:t>tates whether each vehicle is a taxi or private hire</w:t>
      </w:r>
    </w:p>
    <w:p w14:paraId="5DFD87EB" w14:textId="03062290" w:rsidR="001A320D" w:rsidRDefault="00CD66F2" w:rsidP="005113D5">
      <w:pPr>
        <w:pStyle w:val="ListParagraph"/>
        <w:numPr>
          <w:ilvl w:val="0"/>
          <w:numId w:val="46"/>
        </w:numPr>
      </w:pPr>
      <w:r>
        <w:t>List r</w:t>
      </w:r>
      <w:r w:rsidR="000823FF">
        <w:t>ecords</w:t>
      </w:r>
      <w:r w:rsidR="001A320D">
        <w:t xml:space="preserve"> the name of the operator of the vehicle.</w:t>
      </w:r>
    </w:p>
    <w:p w14:paraId="026491F0" w14:textId="3BCC149E" w:rsidR="001A320D" w:rsidRDefault="001A320D" w:rsidP="001A320D">
      <w:r>
        <w:t xml:space="preserve">Lists that do not comply with these obligations may well be considered not to be valid should any enforcement action be taken against a driver. </w:t>
      </w:r>
    </w:p>
    <w:p w14:paraId="1F3FC326" w14:textId="09B06E8F" w:rsidR="001A320D" w:rsidRDefault="001A320D" w:rsidP="001A320D">
      <w:r>
        <w:t>Some authorities were confused or unclear as to what a S167 list should comprise. For example, Nottingham City Council stated they have a S167 list, but the Department for Transport disagreed:</w:t>
      </w:r>
    </w:p>
    <w:p w14:paraId="147761E6" w14:textId="341A231D" w:rsidR="001A320D" w:rsidRDefault="001A320D" w:rsidP="00FD1BA6">
      <w:pPr>
        <w:pStyle w:val="Quote"/>
      </w:pPr>
      <w:r>
        <w:t>The list clearly does not meet the guidance however the guidance does not mandate that LA's publish a list, it simply encourages them to do so. Whether they do so or not is their choice.</w:t>
      </w:r>
    </w:p>
    <w:p w14:paraId="11C4EBBC" w14:textId="5810E8B4" w:rsidR="001A320D" w:rsidRDefault="001A320D" w:rsidP="00FD1BA6">
      <w:pPr>
        <w:pStyle w:val="Quote"/>
      </w:pPr>
      <w:r>
        <w:t xml:space="preserve">If they choose to publish a list for the purposes of meeting </w:t>
      </w:r>
      <w:r w:rsidR="00CD66F2">
        <w:t>S</w:t>
      </w:r>
      <w:r>
        <w:t xml:space="preserve">165 of the act, the list must be clearly marked as 'designated for the purposes of section 165 of the Act' </w:t>
      </w:r>
      <w:r w:rsidR="000573F2">
        <w:t>–</w:t>
      </w:r>
      <w:r>
        <w:t xml:space="preserve"> as noted below by the reporter.</w:t>
      </w:r>
    </w:p>
    <w:p w14:paraId="32841743" w14:textId="3677B9EE" w:rsidR="001A320D" w:rsidRPr="0032041F" w:rsidRDefault="001A320D" w:rsidP="00FD1BA6">
      <w:pPr>
        <w:pStyle w:val="IntenseQuote"/>
        <w:jc w:val="left"/>
        <w:rPr>
          <w:sz w:val="24"/>
          <w:szCs w:val="24"/>
        </w:rPr>
      </w:pPr>
      <w:r w:rsidRPr="0032041F">
        <w:rPr>
          <w:sz w:val="24"/>
          <w:szCs w:val="24"/>
        </w:rPr>
        <w:t>3. 9 Before drivers can be subject to the duties under section 165 of the Act, the LA must first publish their list of designated vehicles, and clearly mark it as 'designated for the purposes of section 165 of the Act'.</w:t>
      </w:r>
    </w:p>
    <w:p w14:paraId="508E06CA" w14:textId="5A01128A" w:rsidR="001A320D" w:rsidRDefault="001A320D" w:rsidP="00FD1BA6">
      <w:pPr>
        <w:pStyle w:val="Quote"/>
      </w:pPr>
      <w:r>
        <w:t xml:space="preserve">So in my opinion, I think the key point to note here that the list is not compliant with the guidance but the list is not designated as a list designed to meet </w:t>
      </w:r>
      <w:r w:rsidR="0032041F">
        <w:t>S</w:t>
      </w:r>
      <w:r>
        <w:t xml:space="preserve">165 and therefore does not need to comply with the guidance, nor are the drivers subject to </w:t>
      </w:r>
      <w:r w:rsidR="0032041F">
        <w:t>S</w:t>
      </w:r>
      <w:r>
        <w:t>165 unless Notts CC decide to designate the list as one for the purposes of meeting 5165. I think there is a remaining question for Notts CC as to whether they intend to designate the list for the purposes of s165 in future and why it hasn't yet been. Unfortunately DfT cannot answer those questions.</w:t>
      </w:r>
      <w:r w:rsidR="00FD1BA6">
        <w:rPr>
          <w:rStyle w:val="EndnoteReference"/>
        </w:rPr>
        <w:endnoteReference w:id="6"/>
      </w:r>
    </w:p>
    <w:p w14:paraId="27ABF519" w14:textId="272C6675" w:rsidR="005113D5" w:rsidRDefault="00FD1BA6" w:rsidP="00FD1BA6">
      <w:r>
        <w:t>Nearly all authorities decided to use ability to accommodate somebody in a “reference wheelchair” as the accessibility standard for a vehicle to be placed on the list.</w:t>
      </w:r>
    </w:p>
    <w:p w14:paraId="6D6366D3" w14:textId="144B5916" w:rsidR="00202E80" w:rsidRDefault="00202E80" w:rsidP="00FD1BA6">
      <w:r>
        <w:lastRenderedPageBreak/>
        <w:t>Very few (8%) had followed the DFT’s stated best practice and included details of the size of wheelchair each taxi can accommodate, including whether the vehicle is suitable for wheelchairs larger than the reference wheelchair.</w:t>
      </w:r>
    </w:p>
    <w:p w14:paraId="5944E86B" w14:textId="751F1D73" w:rsidR="00202E80" w:rsidRDefault="001B4493" w:rsidP="001B4493">
      <w:pPr>
        <w:pStyle w:val="Heading2"/>
      </w:pPr>
      <w:bookmarkStart w:id="104" w:name="_Toc512556904"/>
      <w:r>
        <w:t>Driver Guidance</w:t>
      </w:r>
      <w:bookmarkEnd w:id="104"/>
    </w:p>
    <w:tbl>
      <w:tblPr>
        <w:tblW w:w="7160" w:type="dxa"/>
        <w:jc w:val="center"/>
        <w:tblLook w:val="04A0" w:firstRow="1" w:lastRow="0" w:firstColumn="1" w:lastColumn="0" w:noHBand="0" w:noVBand="1"/>
      </w:tblPr>
      <w:tblGrid>
        <w:gridCol w:w="1480"/>
        <w:gridCol w:w="1380"/>
        <w:gridCol w:w="1420"/>
        <w:gridCol w:w="1440"/>
        <w:gridCol w:w="1440"/>
      </w:tblGrid>
      <w:tr w:rsidR="001B4493" w:rsidRPr="001B4493" w14:paraId="1986CF9F" w14:textId="77777777" w:rsidTr="0032041F">
        <w:trPr>
          <w:trHeight w:val="495"/>
          <w:jc w:val="center"/>
        </w:trPr>
        <w:tc>
          <w:tcPr>
            <w:tcW w:w="1480" w:type="dxa"/>
            <w:tcBorders>
              <w:top w:val="single" w:sz="4" w:space="0" w:color="757171"/>
              <w:left w:val="single" w:sz="4" w:space="0" w:color="757171"/>
              <w:bottom w:val="single" w:sz="4" w:space="0" w:color="757171"/>
              <w:right w:val="single" w:sz="4" w:space="0" w:color="757171"/>
            </w:tcBorders>
            <w:shd w:val="clear" w:color="000000" w:fill="FFFFFF"/>
            <w:vAlign w:val="bottom"/>
            <w:hideMark/>
          </w:tcPr>
          <w:p w14:paraId="4266F865" w14:textId="77777777" w:rsidR="001B4493" w:rsidRPr="001B4493" w:rsidRDefault="001B4493" w:rsidP="001B4493">
            <w:pPr>
              <w:spacing w:after="0" w:line="240" w:lineRule="auto"/>
              <w:jc w:val="center"/>
              <w:rPr>
                <w:rFonts w:ascii="Arial" w:eastAsia="Times New Roman" w:hAnsi="Arial" w:cs="Arial"/>
                <w:b/>
                <w:bCs/>
                <w:color w:val="000000"/>
                <w:sz w:val="20"/>
                <w:szCs w:val="20"/>
                <w:lang w:val="en-GB" w:eastAsia="en-GB"/>
              </w:rPr>
            </w:pPr>
            <w:r w:rsidRPr="001B4493">
              <w:rPr>
                <w:rFonts w:ascii="Arial" w:eastAsia="Times New Roman" w:hAnsi="Arial" w:cs="Arial"/>
                <w:b/>
                <w:bCs/>
                <w:color w:val="000000"/>
                <w:sz w:val="20"/>
                <w:szCs w:val="20"/>
                <w:lang w:val="en-GB" w:eastAsia="en-GB"/>
              </w:rPr>
              <w:t>Authorities</w:t>
            </w:r>
          </w:p>
        </w:tc>
        <w:tc>
          <w:tcPr>
            <w:tcW w:w="1380" w:type="dxa"/>
            <w:tcBorders>
              <w:top w:val="single" w:sz="4" w:space="0" w:color="757171"/>
              <w:left w:val="single" w:sz="4" w:space="0" w:color="auto"/>
              <w:bottom w:val="single" w:sz="4" w:space="0" w:color="757171"/>
              <w:right w:val="single" w:sz="4" w:space="0" w:color="FFFFFF"/>
            </w:tcBorders>
            <w:shd w:val="clear" w:color="000000" w:fill="FFFFFF"/>
            <w:vAlign w:val="bottom"/>
            <w:hideMark/>
          </w:tcPr>
          <w:p w14:paraId="03540879" w14:textId="77777777" w:rsidR="001B4493" w:rsidRPr="001B4493" w:rsidRDefault="001B4493" w:rsidP="001B4493">
            <w:pPr>
              <w:spacing w:after="0" w:line="240" w:lineRule="auto"/>
              <w:jc w:val="center"/>
              <w:rPr>
                <w:rFonts w:ascii="Arial" w:eastAsia="Times New Roman" w:hAnsi="Arial" w:cs="Arial"/>
                <w:b/>
                <w:bCs/>
                <w:color w:val="000000"/>
                <w:sz w:val="20"/>
                <w:szCs w:val="20"/>
                <w:lang w:val="en-GB" w:eastAsia="en-GB"/>
              </w:rPr>
            </w:pPr>
            <w:r w:rsidRPr="001B4493">
              <w:rPr>
                <w:rFonts w:ascii="Arial" w:eastAsia="Times New Roman" w:hAnsi="Arial" w:cs="Arial"/>
                <w:b/>
                <w:bCs/>
                <w:color w:val="000000"/>
                <w:sz w:val="20"/>
                <w:szCs w:val="20"/>
                <w:lang w:val="en-GB" w:eastAsia="en-GB"/>
              </w:rPr>
              <w:t>Driver Guidance #</w:t>
            </w:r>
          </w:p>
        </w:tc>
        <w:tc>
          <w:tcPr>
            <w:tcW w:w="1420" w:type="dxa"/>
            <w:tcBorders>
              <w:top w:val="single" w:sz="4" w:space="0" w:color="757171"/>
              <w:left w:val="single" w:sz="4" w:space="0" w:color="FFFFFF"/>
              <w:bottom w:val="single" w:sz="4" w:space="0" w:color="757171"/>
              <w:right w:val="single" w:sz="4" w:space="0" w:color="auto"/>
            </w:tcBorders>
            <w:shd w:val="clear" w:color="000000" w:fill="FFFFFF"/>
            <w:vAlign w:val="bottom"/>
            <w:hideMark/>
          </w:tcPr>
          <w:p w14:paraId="49D5ABE6" w14:textId="77777777" w:rsidR="001B4493" w:rsidRPr="001B4493" w:rsidRDefault="001B4493" w:rsidP="001B4493">
            <w:pPr>
              <w:spacing w:after="0" w:line="240" w:lineRule="auto"/>
              <w:jc w:val="center"/>
              <w:rPr>
                <w:rFonts w:ascii="Arial" w:eastAsia="Times New Roman" w:hAnsi="Arial" w:cs="Arial"/>
                <w:b/>
                <w:bCs/>
                <w:color w:val="000000"/>
                <w:sz w:val="20"/>
                <w:szCs w:val="20"/>
                <w:lang w:val="en-GB" w:eastAsia="en-GB"/>
              </w:rPr>
            </w:pPr>
            <w:r w:rsidRPr="001B4493">
              <w:rPr>
                <w:rFonts w:ascii="Arial" w:eastAsia="Times New Roman" w:hAnsi="Arial" w:cs="Arial"/>
                <w:b/>
                <w:bCs/>
                <w:color w:val="000000"/>
                <w:sz w:val="20"/>
                <w:szCs w:val="20"/>
                <w:lang w:val="en-GB" w:eastAsia="en-GB"/>
              </w:rPr>
              <w:t>Driver Guidance %</w:t>
            </w:r>
          </w:p>
        </w:tc>
        <w:tc>
          <w:tcPr>
            <w:tcW w:w="1440" w:type="dxa"/>
            <w:tcBorders>
              <w:top w:val="single" w:sz="4" w:space="0" w:color="757171"/>
              <w:left w:val="single" w:sz="4" w:space="0" w:color="FFFFFF"/>
              <w:bottom w:val="single" w:sz="4" w:space="0" w:color="757171"/>
              <w:right w:val="single" w:sz="4" w:space="0" w:color="FFFFFF"/>
            </w:tcBorders>
            <w:shd w:val="clear" w:color="000000" w:fill="FFFFFF"/>
            <w:vAlign w:val="bottom"/>
            <w:hideMark/>
          </w:tcPr>
          <w:p w14:paraId="25307B43" w14:textId="77777777" w:rsidR="001B4493" w:rsidRPr="001B4493" w:rsidRDefault="001B4493" w:rsidP="001B4493">
            <w:pPr>
              <w:spacing w:after="0" w:line="240" w:lineRule="auto"/>
              <w:jc w:val="center"/>
              <w:rPr>
                <w:rFonts w:ascii="Arial" w:eastAsia="Times New Roman" w:hAnsi="Arial" w:cs="Arial"/>
                <w:b/>
                <w:bCs/>
                <w:color w:val="000000"/>
                <w:sz w:val="20"/>
                <w:szCs w:val="20"/>
                <w:lang w:val="en-GB" w:eastAsia="en-GB"/>
              </w:rPr>
            </w:pPr>
            <w:r w:rsidRPr="001B4493">
              <w:rPr>
                <w:rFonts w:ascii="Arial" w:eastAsia="Times New Roman" w:hAnsi="Arial" w:cs="Arial"/>
                <w:b/>
                <w:bCs/>
                <w:color w:val="000000"/>
                <w:sz w:val="20"/>
                <w:szCs w:val="20"/>
                <w:lang w:val="en-GB" w:eastAsia="en-GB"/>
              </w:rPr>
              <w:t>Meter Policy #</w:t>
            </w:r>
          </w:p>
        </w:tc>
        <w:tc>
          <w:tcPr>
            <w:tcW w:w="1440" w:type="dxa"/>
            <w:tcBorders>
              <w:top w:val="single" w:sz="4" w:space="0" w:color="757171"/>
              <w:left w:val="single" w:sz="4" w:space="0" w:color="FFFFFF"/>
              <w:bottom w:val="single" w:sz="4" w:space="0" w:color="757171"/>
              <w:right w:val="single" w:sz="4" w:space="0" w:color="757171"/>
            </w:tcBorders>
            <w:shd w:val="clear" w:color="000000" w:fill="FFFFFF"/>
            <w:vAlign w:val="bottom"/>
            <w:hideMark/>
          </w:tcPr>
          <w:p w14:paraId="4FF5889D" w14:textId="77777777" w:rsidR="001B4493" w:rsidRPr="001B4493" w:rsidRDefault="001B4493" w:rsidP="001B4493">
            <w:pPr>
              <w:spacing w:after="0" w:line="240" w:lineRule="auto"/>
              <w:jc w:val="center"/>
              <w:rPr>
                <w:rFonts w:ascii="Arial" w:eastAsia="Times New Roman" w:hAnsi="Arial" w:cs="Arial"/>
                <w:b/>
                <w:bCs/>
                <w:color w:val="000000"/>
                <w:sz w:val="20"/>
                <w:szCs w:val="20"/>
                <w:lang w:val="en-GB" w:eastAsia="en-GB"/>
              </w:rPr>
            </w:pPr>
            <w:r w:rsidRPr="001B4493">
              <w:rPr>
                <w:rFonts w:ascii="Arial" w:eastAsia="Times New Roman" w:hAnsi="Arial" w:cs="Arial"/>
                <w:b/>
                <w:bCs/>
                <w:color w:val="000000"/>
                <w:sz w:val="20"/>
                <w:szCs w:val="20"/>
                <w:lang w:val="en-GB" w:eastAsia="en-GB"/>
              </w:rPr>
              <w:t>Meter Policy %</w:t>
            </w:r>
          </w:p>
        </w:tc>
      </w:tr>
      <w:tr w:rsidR="001B4493" w:rsidRPr="001B4493" w14:paraId="4EDE3405" w14:textId="77777777" w:rsidTr="0032041F">
        <w:trPr>
          <w:trHeight w:val="255"/>
          <w:jc w:val="center"/>
        </w:trPr>
        <w:tc>
          <w:tcPr>
            <w:tcW w:w="1480" w:type="dxa"/>
            <w:tcBorders>
              <w:top w:val="single" w:sz="4" w:space="0" w:color="FFFFFF"/>
              <w:left w:val="single" w:sz="4" w:space="0" w:color="FFFFFF"/>
              <w:bottom w:val="single" w:sz="4" w:space="0" w:color="FFFFFF"/>
              <w:right w:val="single" w:sz="4" w:space="0" w:color="FFFFFF"/>
            </w:tcBorders>
            <w:shd w:val="clear" w:color="000000" w:fill="99BD66"/>
            <w:noWrap/>
            <w:vAlign w:val="bottom"/>
            <w:hideMark/>
          </w:tcPr>
          <w:p w14:paraId="63D7BF68" w14:textId="77777777" w:rsidR="001B4493" w:rsidRPr="001B4493" w:rsidRDefault="001B4493" w:rsidP="001B4493">
            <w:pPr>
              <w:spacing w:after="0" w:line="240" w:lineRule="auto"/>
              <w:jc w:val="center"/>
              <w:rPr>
                <w:rFonts w:ascii="Arial" w:eastAsia="Times New Roman" w:hAnsi="Arial" w:cs="Arial"/>
                <w:b/>
                <w:bCs/>
                <w:color w:val="000000"/>
                <w:sz w:val="20"/>
                <w:szCs w:val="20"/>
                <w:lang w:val="en-GB" w:eastAsia="en-GB"/>
              </w:rPr>
            </w:pPr>
            <w:r w:rsidRPr="001B4493">
              <w:rPr>
                <w:rFonts w:ascii="Arial" w:eastAsia="Times New Roman" w:hAnsi="Arial" w:cs="Arial"/>
                <w:b/>
                <w:bCs/>
                <w:color w:val="000000"/>
                <w:sz w:val="20"/>
                <w:szCs w:val="20"/>
                <w:lang w:val="en-GB" w:eastAsia="en-GB"/>
              </w:rPr>
              <w:t>Yes</w:t>
            </w:r>
          </w:p>
        </w:tc>
        <w:tc>
          <w:tcPr>
            <w:tcW w:w="1380" w:type="dxa"/>
            <w:tcBorders>
              <w:top w:val="single" w:sz="4" w:space="0" w:color="FFFFFF"/>
              <w:left w:val="single" w:sz="4" w:space="0" w:color="auto"/>
              <w:bottom w:val="single" w:sz="4" w:space="0" w:color="FFFFFF"/>
              <w:right w:val="single" w:sz="4" w:space="0" w:color="FFFFFF"/>
            </w:tcBorders>
            <w:shd w:val="clear" w:color="000000" w:fill="FFFFFF"/>
            <w:noWrap/>
            <w:vAlign w:val="bottom"/>
            <w:hideMark/>
          </w:tcPr>
          <w:p w14:paraId="66D6DEE8" w14:textId="77777777" w:rsidR="001B4493" w:rsidRPr="001B4493" w:rsidRDefault="001B4493" w:rsidP="001B4493">
            <w:pPr>
              <w:spacing w:after="0" w:line="240" w:lineRule="auto"/>
              <w:jc w:val="center"/>
              <w:rPr>
                <w:rFonts w:ascii="Arial" w:eastAsia="Times New Roman" w:hAnsi="Arial" w:cs="Arial"/>
                <w:color w:val="757171"/>
                <w:sz w:val="20"/>
                <w:szCs w:val="20"/>
                <w:lang w:val="en-GB" w:eastAsia="en-GB"/>
              </w:rPr>
            </w:pPr>
            <w:r w:rsidRPr="001B4493">
              <w:rPr>
                <w:rFonts w:ascii="Arial" w:eastAsia="Times New Roman" w:hAnsi="Arial" w:cs="Arial"/>
                <w:color w:val="757171"/>
                <w:sz w:val="20"/>
                <w:szCs w:val="20"/>
                <w:lang w:val="en-GB" w:eastAsia="en-GB"/>
              </w:rPr>
              <w:t>99</w:t>
            </w:r>
          </w:p>
        </w:tc>
        <w:tc>
          <w:tcPr>
            <w:tcW w:w="1420" w:type="dxa"/>
            <w:tcBorders>
              <w:top w:val="single" w:sz="4" w:space="0" w:color="FFFFFF"/>
              <w:left w:val="nil"/>
              <w:bottom w:val="single" w:sz="4" w:space="0" w:color="FFFFFF"/>
              <w:right w:val="single" w:sz="4" w:space="0" w:color="auto"/>
            </w:tcBorders>
            <w:shd w:val="clear" w:color="000000" w:fill="FFFFFF"/>
            <w:noWrap/>
            <w:vAlign w:val="bottom"/>
            <w:hideMark/>
          </w:tcPr>
          <w:p w14:paraId="5C325A39" w14:textId="77777777" w:rsidR="001B4493" w:rsidRPr="001B4493" w:rsidRDefault="001B4493" w:rsidP="001B4493">
            <w:pPr>
              <w:spacing w:after="0" w:line="240" w:lineRule="auto"/>
              <w:jc w:val="center"/>
              <w:rPr>
                <w:rFonts w:ascii="Arial" w:eastAsia="Times New Roman" w:hAnsi="Arial" w:cs="Arial"/>
                <w:color w:val="757171"/>
                <w:sz w:val="20"/>
                <w:szCs w:val="20"/>
                <w:lang w:val="en-GB" w:eastAsia="en-GB"/>
              </w:rPr>
            </w:pPr>
            <w:r w:rsidRPr="001B4493">
              <w:rPr>
                <w:rFonts w:ascii="Arial" w:eastAsia="Times New Roman" w:hAnsi="Arial" w:cs="Arial"/>
                <w:color w:val="757171"/>
                <w:sz w:val="20"/>
                <w:szCs w:val="20"/>
                <w:lang w:val="en-GB" w:eastAsia="en-GB"/>
              </w:rPr>
              <w:t>81%</w:t>
            </w:r>
          </w:p>
        </w:tc>
        <w:tc>
          <w:tcPr>
            <w:tcW w:w="1440" w:type="dxa"/>
            <w:tcBorders>
              <w:top w:val="single" w:sz="4" w:space="0" w:color="FFFFFF"/>
              <w:left w:val="single" w:sz="4" w:space="0" w:color="FFFFFF"/>
              <w:bottom w:val="single" w:sz="4" w:space="0" w:color="FFFFFF"/>
              <w:right w:val="single" w:sz="4" w:space="0" w:color="FFFFFF"/>
            </w:tcBorders>
            <w:shd w:val="clear" w:color="000000" w:fill="FFFFFF"/>
            <w:noWrap/>
            <w:vAlign w:val="bottom"/>
            <w:hideMark/>
          </w:tcPr>
          <w:p w14:paraId="12BC24C9" w14:textId="77777777" w:rsidR="001B4493" w:rsidRPr="001B4493" w:rsidRDefault="001B4493" w:rsidP="001B4493">
            <w:pPr>
              <w:spacing w:after="0" w:line="240" w:lineRule="auto"/>
              <w:jc w:val="center"/>
              <w:rPr>
                <w:rFonts w:ascii="Arial" w:eastAsia="Times New Roman" w:hAnsi="Arial" w:cs="Arial"/>
                <w:color w:val="757171"/>
                <w:sz w:val="20"/>
                <w:szCs w:val="20"/>
                <w:lang w:val="en-GB" w:eastAsia="en-GB"/>
              </w:rPr>
            </w:pPr>
            <w:r w:rsidRPr="001B4493">
              <w:rPr>
                <w:rFonts w:ascii="Arial" w:eastAsia="Times New Roman" w:hAnsi="Arial" w:cs="Arial"/>
                <w:color w:val="757171"/>
                <w:sz w:val="20"/>
                <w:szCs w:val="20"/>
                <w:lang w:val="en-GB" w:eastAsia="en-GB"/>
              </w:rPr>
              <w:t>53</w:t>
            </w:r>
          </w:p>
        </w:tc>
        <w:tc>
          <w:tcPr>
            <w:tcW w:w="1440" w:type="dxa"/>
            <w:tcBorders>
              <w:top w:val="single" w:sz="4" w:space="0" w:color="FFFFFF"/>
              <w:left w:val="nil"/>
              <w:bottom w:val="single" w:sz="4" w:space="0" w:color="FFFFFF"/>
              <w:right w:val="single" w:sz="4" w:space="0" w:color="FFFFFF"/>
            </w:tcBorders>
            <w:shd w:val="clear" w:color="000000" w:fill="FFFFFF"/>
            <w:noWrap/>
            <w:vAlign w:val="bottom"/>
            <w:hideMark/>
          </w:tcPr>
          <w:p w14:paraId="56DBF1F5" w14:textId="77777777" w:rsidR="001B4493" w:rsidRPr="001B4493" w:rsidRDefault="001B4493" w:rsidP="001B4493">
            <w:pPr>
              <w:spacing w:after="0" w:line="240" w:lineRule="auto"/>
              <w:jc w:val="center"/>
              <w:rPr>
                <w:rFonts w:ascii="Arial" w:eastAsia="Times New Roman" w:hAnsi="Arial" w:cs="Arial"/>
                <w:color w:val="757171"/>
                <w:sz w:val="20"/>
                <w:szCs w:val="20"/>
                <w:lang w:val="en-GB" w:eastAsia="en-GB"/>
              </w:rPr>
            </w:pPr>
            <w:r w:rsidRPr="001B4493">
              <w:rPr>
                <w:rFonts w:ascii="Arial" w:eastAsia="Times New Roman" w:hAnsi="Arial" w:cs="Arial"/>
                <w:color w:val="757171"/>
                <w:sz w:val="20"/>
                <w:szCs w:val="20"/>
                <w:lang w:val="en-GB" w:eastAsia="en-GB"/>
              </w:rPr>
              <w:t>43%</w:t>
            </w:r>
          </w:p>
        </w:tc>
      </w:tr>
      <w:tr w:rsidR="001B4493" w:rsidRPr="001B4493" w14:paraId="48FC8001" w14:textId="77777777" w:rsidTr="0032041F">
        <w:trPr>
          <w:trHeight w:val="255"/>
          <w:jc w:val="center"/>
        </w:trPr>
        <w:tc>
          <w:tcPr>
            <w:tcW w:w="1480" w:type="dxa"/>
            <w:tcBorders>
              <w:top w:val="single" w:sz="4" w:space="0" w:color="FFFFFF"/>
              <w:left w:val="single" w:sz="4" w:space="0" w:color="FFFFFF"/>
              <w:bottom w:val="single" w:sz="4" w:space="0" w:color="FFFFFF"/>
              <w:right w:val="single" w:sz="4" w:space="0" w:color="FFFFFF"/>
            </w:tcBorders>
            <w:shd w:val="clear" w:color="000000" w:fill="FF7D67"/>
            <w:noWrap/>
            <w:vAlign w:val="bottom"/>
            <w:hideMark/>
          </w:tcPr>
          <w:p w14:paraId="3D7E92DC" w14:textId="77777777" w:rsidR="001B4493" w:rsidRPr="001B4493" w:rsidRDefault="001B4493" w:rsidP="001B4493">
            <w:pPr>
              <w:spacing w:after="0" w:line="240" w:lineRule="auto"/>
              <w:jc w:val="center"/>
              <w:rPr>
                <w:rFonts w:ascii="Arial" w:eastAsia="Times New Roman" w:hAnsi="Arial" w:cs="Arial"/>
                <w:b/>
                <w:bCs/>
                <w:color w:val="000000"/>
                <w:sz w:val="20"/>
                <w:szCs w:val="20"/>
                <w:lang w:val="en-GB" w:eastAsia="en-GB"/>
              </w:rPr>
            </w:pPr>
            <w:r w:rsidRPr="001B4493">
              <w:rPr>
                <w:rFonts w:ascii="Arial" w:eastAsia="Times New Roman" w:hAnsi="Arial" w:cs="Arial"/>
                <w:b/>
                <w:bCs/>
                <w:color w:val="000000"/>
                <w:sz w:val="20"/>
                <w:szCs w:val="20"/>
                <w:lang w:val="en-GB" w:eastAsia="en-GB"/>
              </w:rPr>
              <w:t>No</w:t>
            </w:r>
          </w:p>
        </w:tc>
        <w:tc>
          <w:tcPr>
            <w:tcW w:w="1380" w:type="dxa"/>
            <w:tcBorders>
              <w:top w:val="nil"/>
              <w:left w:val="single" w:sz="4" w:space="0" w:color="auto"/>
              <w:bottom w:val="single" w:sz="4" w:space="0" w:color="FFFFFF"/>
              <w:right w:val="single" w:sz="4" w:space="0" w:color="FFFFFF"/>
            </w:tcBorders>
            <w:shd w:val="clear" w:color="000000" w:fill="FFFFFF"/>
            <w:noWrap/>
            <w:vAlign w:val="bottom"/>
            <w:hideMark/>
          </w:tcPr>
          <w:p w14:paraId="3BD4E31B" w14:textId="77777777" w:rsidR="001B4493" w:rsidRPr="001B4493" w:rsidRDefault="001B4493" w:rsidP="001B4493">
            <w:pPr>
              <w:spacing w:after="0" w:line="240" w:lineRule="auto"/>
              <w:jc w:val="center"/>
              <w:rPr>
                <w:rFonts w:ascii="Arial" w:eastAsia="Times New Roman" w:hAnsi="Arial" w:cs="Arial"/>
                <w:color w:val="757171"/>
                <w:sz w:val="20"/>
                <w:szCs w:val="20"/>
                <w:lang w:val="en-GB" w:eastAsia="en-GB"/>
              </w:rPr>
            </w:pPr>
            <w:r w:rsidRPr="001B4493">
              <w:rPr>
                <w:rFonts w:ascii="Arial" w:eastAsia="Times New Roman" w:hAnsi="Arial" w:cs="Arial"/>
                <w:color w:val="757171"/>
                <w:sz w:val="20"/>
                <w:szCs w:val="20"/>
                <w:lang w:val="en-GB" w:eastAsia="en-GB"/>
              </w:rPr>
              <w:t>23</w:t>
            </w:r>
          </w:p>
        </w:tc>
        <w:tc>
          <w:tcPr>
            <w:tcW w:w="1420" w:type="dxa"/>
            <w:tcBorders>
              <w:top w:val="nil"/>
              <w:left w:val="nil"/>
              <w:bottom w:val="single" w:sz="4" w:space="0" w:color="FFFFFF"/>
              <w:right w:val="single" w:sz="4" w:space="0" w:color="auto"/>
            </w:tcBorders>
            <w:shd w:val="clear" w:color="000000" w:fill="FFFFFF"/>
            <w:noWrap/>
            <w:vAlign w:val="bottom"/>
            <w:hideMark/>
          </w:tcPr>
          <w:p w14:paraId="71194CD6" w14:textId="77777777" w:rsidR="001B4493" w:rsidRPr="001B4493" w:rsidRDefault="001B4493" w:rsidP="001B4493">
            <w:pPr>
              <w:spacing w:after="0" w:line="240" w:lineRule="auto"/>
              <w:jc w:val="center"/>
              <w:rPr>
                <w:rFonts w:ascii="Arial" w:eastAsia="Times New Roman" w:hAnsi="Arial" w:cs="Arial"/>
                <w:color w:val="757171"/>
                <w:sz w:val="20"/>
                <w:szCs w:val="20"/>
                <w:lang w:val="en-GB" w:eastAsia="en-GB"/>
              </w:rPr>
            </w:pPr>
            <w:r w:rsidRPr="001B4493">
              <w:rPr>
                <w:rFonts w:ascii="Arial" w:eastAsia="Times New Roman" w:hAnsi="Arial" w:cs="Arial"/>
                <w:color w:val="757171"/>
                <w:sz w:val="20"/>
                <w:szCs w:val="20"/>
                <w:lang w:val="en-GB" w:eastAsia="en-GB"/>
              </w:rPr>
              <w:t>19%</w:t>
            </w:r>
          </w:p>
        </w:tc>
        <w:tc>
          <w:tcPr>
            <w:tcW w:w="1440" w:type="dxa"/>
            <w:tcBorders>
              <w:top w:val="nil"/>
              <w:left w:val="single" w:sz="4" w:space="0" w:color="FFFFFF"/>
              <w:bottom w:val="single" w:sz="4" w:space="0" w:color="FFFFFF"/>
              <w:right w:val="single" w:sz="4" w:space="0" w:color="FFFFFF"/>
            </w:tcBorders>
            <w:shd w:val="clear" w:color="000000" w:fill="FFFFFF"/>
            <w:noWrap/>
            <w:vAlign w:val="bottom"/>
            <w:hideMark/>
          </w:tcPr>
          <w:p w14:paraId="72A59943" w14:textId="77777777" w:rsidR="001B4493" w:rsidRPr="001B4493" w:rsidRDefault="001B4493" w:rsidP="001B4493">
            <w:pPr>
              <w:spacing w:after="0" w:line="240" w:lineRule="auto"/>
              <w:jc w:val="center"/>
              <w:rPr>
                <w:rFonts w:ascii="Arial" w:eastAsia="Times New Roman" w:hAnsi="Arial" w:cs="Arial"/>
                <w:color w:val="757171"/>
                <w:sz w:val="20"/>
                <w:szCs w:val="20"/>
                <w:lang w:val="en-GB" w:eastAsia="en-GB"/>
              </w:rPr>
            </w:pPr>
            <w:r w:rsidRPr="001B4493">
              <w:rPr>
                <w:rFonts w:ascii="Arial" w:eastAsia="Times New Roman" w:hAnsi="Arial" w:cs="Arial"/>
                <w:color w:val="757171"/>
                <w:sz w:val="20"/>
                <w:szCs w:val="20"/>
                <w:lang w:val="en-GB" w:eastAsia="en-GB"/>
              </w:rPr>
              <w:t>71</w:t>
            </w:r>
          </w:p>
        </w:tc>
        <w:tc>
          <w:tcPr>
            <w:tcW w:w="1440" w:type="dxa"/>
            <w:tcBorders>
              <w:top w:val="nil"/>
              <w:left w:val="nil"/>
              <w:bottom w:val="single" w:sz="4" w:space="0" w:color="FFFFFF"/>
              <w:right w:val="single" w:sz="4" w:space="0" w:color="FFFFFF"/>
            </w:tcBorders>
            <w:shd w:val="clear" w:color="000000" w:fill="FFFFFF"/>
            <w:noWrap/>
            <w:vAlign w:val="bottom"/>
            <w:hideMark/>
          </w:tcPr>
          <w:p w14:paraId="55F5925B" w14:textId="77777777" w:rsidR="001B4493" w:rsidRPr="001B4493" w:rsidRDefault="001B4493" w:rsidP="001B4493">
            <w:pPr>
              <w:spacing w:after="0" w:line="240" w:lineRule="auto"/>
              <w:jc w:val="center"/>
              <w:rPr>
                <w:rFonts w:ascii="Arial" w:eastAsia="Times New Roman" w:hAnsi="Arial" w:cs="Arial"/>
                <w:color w:val="757171"/>
                <w:sz w:val="20"/>
                <w:szCs w:val="20"/>
                <w:lang w:val="en-GB" w:eastAsia="en-GB"/>
              </w:rPr>
            </w:pPr>
            <w:r w:rsidRPr="001B4493">
              <w:rPr>
                <w:rFonts w:ascii="Arial" w:eastAsia="Times New Roman" w:hAnsi="Arial" w:cs="Arial"/>
                <w:color w:val="757171"/>
                <w:sz w:val="20"/>
                <w:szCs w:val="20"/>
                <w:lang w:val="en-GB" w:eastAsia="en-GB"/>
              </w:rPr>
              <w:t>57%</w:t>
            </w:r>
          </w:p>
        </w:tc>
      </w:tr>
      <w:tr w:rsidR="001B4493" w:rsidRPr="001B4493" w14:paraId="1C200680" w14:textId="77777777" w:rsidTr="0032041F">
        <w:trPr>
          <w:trHeight w:val="255"/>
          <w:jc w:val="center"/>
        </w:trPr>
        <w:tc>
          <w:tcPr>
            <w:tcW w:w="1480" w:type="dxa"/>
            <w:tcBorders>
              <w:top w:val="single" w:sz="4" w:space="0" w:color="757171"/>
              <w:left w:val="single" w:sz="4" w:space="0" w:color="757171"/>
              <w:bottom w:val="single" w:sz="4" w:space="0" w:color="757171"/>
              <w:right w:val="single" w:sz="4" w:space="0" w:color="757171"/>
            </w:tcBorders>
            <w:shd w:val="clear" w:color="FFFFFF" w:fill="F2F2F2"/>
            <w:noWrap/>
            <w:vAlign w:val="bottom"/>
            <w:hideMark/>
          </w:tcPr>
          <w:p w14:paraId="19C78321" w14:textId="77777777" w:rsidR="001B4493" w:rsidRPr="001B4493" w:rsidRDefault="001B4493" w:rsidP="001B4493">
            <w:pPr>
              <w:spacing w:after="0" w:line="240" w:lineRule="auto"/>
              <w:jc w:val="center"/>
              <w:rPr>
                <w:rFonts w:ascii="Arial" w:eastAsia="Times New Roman" w:hAnsi="Arial" w:cs="Arial"/>
                <w:b/>
                <w:bCs/>
                <w:color w:val="000000"/>
                <w:sz w:val="20"/>
                <w:szCs w:val="20"/>
                <w:lang w:val="en-GB" w:eastAsia="en-GB"/>
              </w:rPr>
            </w:pPr>
            <w:r w:rsidRPr="001B4493">
              <w:rPr>
                <w:rFonts w:ascii="Arial" w:eastAsia="Times New Roman" w:hAnsi="Arial" w:cs="Arial"/>
                <w:b/>
                <w:bCs/>
                <w:color w:val="000000"/>
                <w:sz w:val="20"/>
                <w:szCs w:val="20"/>
                <w:lang w:val="en-GB" w:eastAsia="en-GB"/>
              </w:rPr>
              <w:t>Total</w:t>
            </w:r>
          </w:p>
        </w:tc>
        <w:tc>
          <w:tcPr>
            <w:tcW w:w="1380" w:type="dxa"/>
            <w:tcBorders>
              <w:top w:val="single" w:sz="4" w:space="0" w:color="757171"/>
              <w:left w:val="single" w:sz="4" w:space="0" w:color="auto"/>
              <w:bottom w:val="single" w:sz="4" w:space="0" w:color="757171"/>
              <w:right w:val="single" w:sz="4" w:space="0" w:color="FFFFFF"/>
            </w:tcBorders>
            <w:shd w:val="clear" w:color="000000" w:fill="FFFFFF"/>
            <w:noWrap/>
            <w:vAlign w:val="bottom"/>
            <w:hideMark/>
          </w:tcPr>
          <w:p w14:paraId="15FE3786" w14:textId="77777777" w:rsidR="001B4493" w:rsidRPr="001B4493" w:rsidRDefault="001B4493" w:rsidP="001B4493">
            <w:pPr>
              <w:spacing w:after="0" w:line="240" w:lineRule="auto"/>
              <w:jc w:val="center"/>
              <w:rPr>
                <w:rFonts w:ascii="Arial" w:eastAsia="Times New Roman" w:hAnsi="Arial" w:cs="Arial"/>
                <w:b/>
                <w:bCs/>
                <w:color w:val="000000"/>
                <w:sz w:val="20"/>
                <w:szCs w:val="20"/>
                <w:lang w:val="en-GB" w:eastAsia="en-GB"/>
              </w:rPr>
            </w:pPr>
            <w:r w:rsidRPr="001B4493">
              <w:rPr>
                <w:rFonts w:ascii="Arial" w:eastAsia="Times New Roman" w:hAnsi="Arial" w:cs="Arial"/>
                <w:b/>
                <w:bCs/>
                <w:color w:val="000000"/>
                <w:sz w:val="20"/>
                <w:szCs w:val="20"/>
                <w:lang w:val="en-GB" w:eastAsia="en-GB"/>
              </w:rPr>
              <w:t>122</w:t>
            </w:r>
          </w:p>
        </w:tc>
        <w:tc>
          <w:tcPr>
            <w:tcW w:w="1420" w:type="dxa"/>
            <w:tcBorders>
              <w:top w:val="single" w:sz="4" w:space="0" w:color="757171"/>
              <w:left w:val="single" w:sz="4" w:space="0" w:color="FFFFFF"/>
              <w:bottom w:val="single" w:sz="4" w:space="0" w:color="757171"/>
              <w:right w:val="single" w:sz="4" w:space="0" w:color="auto"/>
            </w:tcBorders>
            <w:shd w:val="clear" w:color="000000" w:fill="FFFFFF"/>
            <w:noWrap/>
            <w:vAlign w:val="bottom"/>
            <w:hideMark/>
          </w:tcPr>
          <w:p w14:paraId="54A4BB70" w14:textId="77777777" w:rsidR="001B4493" w:rsidRPr="001B4493" w:rsidRDefault="001B4493" w:rsidP="001B4493">
            <w:pPr>
              <w:spacing w:after="0" w:line="240" w:lineRule="auto"/>
              <w:jc w:val="center"/>
              <w:rPr>
                <w:rFonts w:ascii="Arial" w:eastAsia="Times New Roman" w:hAnsi="Arial" w:cs="Arial"/>
                <w:b/>
                <w:bCs/>
                <w:color w:val="000000"/>
                <w:sz w:val="20"/>
                <w:szCs w:val="20"/>
                <w:lang w:val="en-GB" w:eastAsia="en-GB"/>
              </w:rPr>
            </w:pPr>
            <w:r w:rsidRPr="001B4493">
              <w:rPr>
                <w:rFonts w:ascii="Arial" w:eastAsia="Times New Roman" w:hAnsi="Arial" w:cs="Arial"/>
                <w:b/>
                <w:bCs/>
                <w:color w:val="000000"/>
                <w:sz w:val="20"/>
                <w:szCs w:val="20"/>
                <w:lang w:val="en-GB" w:eastAsia="en-GB"/>
              </w:rPr>
              <w:t>100%</w:t>
            </w:r>
          </w:p>
        </w:tc>
        <w:tc>
          <w:tcPr>
            <w:tcW w:w="1440" w:type="dxa"/>
            <w:tcBorders>
              <w:top w:val="single" w:sz="4" w:space="0" w:color="757171"/>
              <w:left w:val="single" w:sz="4" w:space="0" w:color="FFFFFF"/>
              <w:bottom w:val="single" w:sz="4" w:space="0" w:color="757171"/>
              <w:right w:val="single" w:sz="4" w:space="0" w:color="FFFFFF"/>
            </w:tcBorders>
            <w:shd w:val="clear" w:color="000000" w:fill="FFFFFF"/>
            <w:noWrap/>
            <w:vAlign w:val="bottom"/>
            <w:hideMark/>
          </w:tcPr>
          <w:p w14:paraId="4EB79486" w14:textId="77777777" w:rsidR="001B4493" w:rsidRPr="001B4493" w:rsidRDefault="001B4493" w:rsidP="001B4493">
            <w:pPr>
              <w:spacing w:after="0" w:line="240" w:lineRule="auto"/>
              <w:jc w:val="center"/>
              <w:rPr>
                <w:rFonts w:ascii="Arial" w:eastAsia="Times New Roman" w:hAnsi="Arial" w:cs="Arial"/>
                <w:b/>
                <w:bCs/>
                <w:color w:val="000000"/>
                <w:sz w:val="20"/>
                <w:szCs w:val="20"/>
                <w:lang w:val="en-GB" w:eastAsia="en-GB"/>
              </w:rPr>
            </w:pPr>
            <w:r w:rsidRPr="001B4493">
              <w:rPr>
                <w:rFonts w:ascii="Arial" w:eastAsia="Times New Roman" w:hAnsi="Arial" w:cs="Arial"/>
                <w:b/>
                <w:bCs/>
                <w:color w:val="000000"/>
                <w:sz w:val="20"/>
                <w:szCs w:val="20"/>
                <w:lang w:val="en-GB" w:eastAsia="en-GB"/>
              </w:rPr>
              <w:t>124</w:t>
            </w:r>
          </w:p>
        </w:tc>
        <w:tc>
          <w:tcPr>
            <w:tcW w:w="1440" w:type="dxa"/>
            <w:tcBorders>
              <w:top w:val="single" w:sz="4" w:space="0" w:color="757171"/>
              <w:left w:val="single" w:sz="4" w:space="0" w:color="FFFFFF"/>
              <w:bottom w:val="single" w:sz="4" w:space="0" w:color="757171"/>
              <w:right w:val="single" w:sz="4" w:space="0" w:color="757171"/>
            </w:tcBorders>
            <w:shd w:val="clear" w:color="000000" w:fill="FFFFFF"/>
            <w:noWrap/>
            <w:vAlign w:val="bottom"/>
            <w:hideMark/>
          </w:tcPr>
          <w:p w14:paraId="73C9B48A" w14:textId="77777777" w:rsidR="001B4493" w:rsidRPr="001B4493" w:rsidRDefault="001B4493" w:rsidP="001B4493">
            <w:pPr>
              <w:spacing w:after="0" w:line="240" w:lineRule="auto"/>
              <w:jc w:val="center"/>
              <w:rPr>
                <w:rFonts w:ascii="Arial" w:eastAsia="Times New Roman" w:hAnsi="Arial" w:cs="Arial"/>
                <w:b/>
                <w:bCs/>
                <w:color w:val="000000"/>
                <w:sz w:val="20"/>
                <w:szCs w:val="20"/>
                <w:lang w:val="en-GB" w:eastAsia="en-GB"/>
              </w:rPr>
            </w:pPr>
            <w:r w:rsidRPr="001B4493">
              <w:rPr>
                <w:rFonts w:ascii="Arial" w:eastAsia="Times New Roman" w:hAnsi="Arial" w:cs="Arial"/>
                <w:b/>
                <w:bCs/>
                <w:color w:val="000000"/>
                <w:sz w:val="20"/>
                <w:szCs w:val="20"/>
                <w:lang w:val="en-GB" w:eastAsia="en-GB"/>
              </w:rPr>
              <w:t>100%</w:t>
            </w:r>
          </w:p>
        </w:tc>
      </w:tr>
    </w:tbl>
    <w:p w14:paraId="45B9B3D2" w14:textId="04B8759C" w:rsidR="001B4493" w:rsidRDefault="001B4493" w:rsidP="001B4493">
      <w:pPr>
        <w:pStyle w:val="Caption"/>
      </w:pPr>
      <w:bookmarkStart w:id="105" w:name="_Toc512556868"/>
      <w:r>
        <w:t xml:space="preserve">Table </w:t>
      </w:r>
      <w:r>
        <w:fldChar w:fldCharType="begin"/>
      </w:r>
      <w:r>
        <w:instrText xml:space="preserve"> SEQ Table \* ARABIC </w:instrText>
      </w:r>
      <w:r>
        <w:fldChar w:fldCharType="separate"/>
      </w:r>
      <w:r w:rsidR="0099156B">
        <w:rPr>
          <w:noProof/>
        </w:rPr>
        <w:t>11</w:t>
      </w:r>
      <w:r>
        <w:fldChar w:fldCharType="end"/>
      </w:r>
      <w:r>
        <w:t xml:space="preserve"> – Local Authority driver guidance</w:t>
      </w:r>
      <w:bookmarkEnd w:id="105"/>
    </w:p>
    <w:p w14:paraId="62FFC486" w14:textId="77777777" w:rsidR="0032041F" w:rsidRDefault="0032041F" w:rsidP="00FD1BA6"/>
    <w:p w14:paraId="0A2BAA03" w14:textId="6D43F44B" w:rsidR="00FD1BA6" w:rsidRDefault="001B4493" w:rsidP="00FD1BA6">
      <w:r>
        <w:t>Most authorities with S167 lists had provided drivers with guidance about their obligations towards wheelchair-using passengers, though a significant proportion (19%) had not. Only 43% of authorities had altered their policy on when meters may be left running (presumably when loading or unloading wheelchair using passengers.)</w:t>
      </w:r>
    </w:p>
    <w:p w14:paraId="410DDFE3" w14:textId="75745D9F" w:rsidR="001B4493" w:rsidRDefault="001B4493" w:rsidP="001B4493">
      <w:pPr>
        <w:pStyle w:val="Heading2"/>
      </w:pPr>
      <w:bookmarkStart w:id="106" w:name="_Toc512556905"/>
      <w:r>
        <w:t>Medical exemption application procedures</w:t>
      </w:r>
      <w:bookmarkEnd w:id="106"/>
    </w:p>
    <w:tbl>
      <w:tblPr>
        <w:tblW w:w="9130" w:type="dxa"/>
        <w:tblLook w:val="04A0" w:firstRow="1" w:lastRow="0" w:firstColumn="1" w:lastColumn="0" w:noHBand="0" w:noVBand="1"/>
      </w:tblPr>
      <w:tblGrid>
        <w:gridCol w:w="1276"/>
        <w:gridCol w:w="1273"/>
        <w:gridCol w:w="1309"/>
        <w:gridCol w:w="1327"/>
        <w:gridCol w:w="1327"/>
        <w:gridCol w:w="1255"/>
        <w:gridCol w:w="1363"/>
      </w:tblGrid>
      <w:tr w:rsidR="001B4493" w:rsidRPr="001B4493" w14:paraId="28FABDEF" w14:textId="77777777" w:rsidTr="001B4493">
        <w:trPr>
          <w:trHeight w:val="510"/>
        </w:trPr>
        <w:tc>
          <w:tcPr>
            <w:tcW w:w="1276" w:type="dxa"/>
            <w:tcBorders>
              <w:top w:val="single" w:sz="4" w:space="0" w:color="757171"/>
              <w:left w:val="single" w:sz="4" w:space="0" w:color="757171"/>
              <w:bottom w:val="single" w:sz="4" w:space="0" w:color="757171"/>
              <w:right w:val="single" w:sz="4" w:space="0" w:color="757171"/>
            </w:tcBorders>
            <w:shd w:val="clear" w:color="000000" w:fill="FFFFFF"/>
            <w:vAlign w:val="bottom"/>
            <w:hideMark/>
          </w:tcPr>
          <w:p w14:paraId="1A01457F" w14:textId="77777777" w:rsidR="001B4493" w:rsidRPr="001B4493" w:rsidRDefault="001B4493" w:rsidP="001B4493">
            <w:pPr>
              <w:spacing w:after="0" w:line="240" w:lineRule="auto"/>
              <w:jc w:val="center"/>
              <w:rPr>
                <w:rFonts w:ascii="Arial" w:eastAsia="Times New Roman" w:hAnsi="Arial" w:cs="Arial"/>
                <w:b/>
                <w:bCs/>
                <w:color w:val="000000"/>
                <w:sz w:val="20"/>
                <w:szCs w:val="20"/>
                <w:lang w:val="en-GB" w:eastAsia="en-GB"/>
              </w:rPr>
            </w:pPr>
            <w:r w:rsidRPr="001B4493">
              <w:rPr>
                <w:rFonts w:ascii="Arial" w:eastAsia="Times New Roman" w:hAnsi="Arial" w:cs="Arial"/>
                <w:b/>
                <w:bCs/>
                <w:color w:val="000000"/>
                <w:sz w:val="20"/>
                <w:szCs w:val="20"/>
                <w:lang w:val="en-GB" w:eastAsia="en-GB"/>
              </w:rPr>
              <w:t>Authorities</w:t>
            </w:r>
          </w:p>
        </w:tc>
        <w:tc>
          <w:tcPr>
            <w:tcW w:w="1273" w:type="dxa"/>
            <w:tcBorders>
              <w:top w:val="single" w:sz="4" w:space="0" w:color="757171"/>
              <w:left w:val="single" w:sz="4" w:space="0" w:color="auto"/>
              <w:bottom w:val="single" w:sz="4" w:space="0" w:color="757171"/>
              <w:right w:val="single" w:sz="4" w:space="0" w:color="FFFFFF"/>
            </w:tcBorders>
            <w:shd w:val="clear" w:color="000000" w:fill="FFFFFF"/>
            <w:vAlign w:val="bottom"/>
            <w:hideMark/>
          </w:tcPr>
          <w:p w14:paraId="3DD3C844" w14:textId="77777777" w:rsidR="001B4493" w:rsidRPr="001B4493" w:rsidRDefault="001B4493" w:rsidP="001B4493">
            <w:pPr>
              <w:spacing w:after="0" w:line="240" w:lineRule="auto"/>
              <w:jc w:val="center"/>
              <w:rPr>
                <w:rFonts w:ascii="Arial" w:eastAsia="Times New Roman" w:hAnsi="Arial" w:cs="Arial"/>
                <w:b/>
                <w:bCs/>
                <w:color w:val="000000"/>
                <w:sz w:val="20"/>
                <w:szCs w:val="20"/>
                <w:lang w:val="en-GB" w:eastAsia="en-GB"/>
              </w:rPr>
            </w:pPr>
            <w:r w:rsidRPr="001B4493">
              <w:rPr>
                <w:rFonts w:ascii="Arial" w:eastAsia="Times New Roman" w:hAnsi="Arial" w:cs="Arial"/>
                <w:b/>
                <w:bCs/>
                <w:color w:val="000000"/>
                <w:sz w:val="20"/>
                <w:szCs w:val="20"/>
                <w:lang w:val="en-GB" w:eastAsia="en-GB"/>
              </w:rPr>
              <w:t>GP Report #</w:t>
            </w:r>
          </w:p>
        </w:tc>
        <w:tc>
          <w:tcPr>
            <w:tcW w:w="1309" w:type="dxa"/>
            <w:tcBorders>
              <w:top w:val="single" w:sz="4" w:space="0" w:color="757171"/>
              <w:left w:val="single" w:sz="4" w:space="0" w:color="FFFFFF"/>
              <w:bottom w:val="single" w:sz="4" w:space="0" w:color="757171"/>
              <w:right w:val="single" w:sz="4" w:space="0" w:color="auto"/>
            </w:tcBorders>
            <w:shd w:val="clear" w:color="000000" w:fill="FFFFFF"/>
            <w:vAlign w:val="bottom"/>
            <w:hideMark/>
          </w:tcPr>
          <w:p w14:paraId="00B6BC36" w14:textId="77777777" w:rsidR="001B4493" w:rsidRPr="001B4493" w:rsidRDefault="001B4493" w:rsidP="001B4493">
            <w:pPr>
              <w:spacing w:after="0" w:line="240" w:lineRule="auto"/>
              <w:jc w:val="center"/>
              <w:rPr>
                <w:rFonts w:ascii="Arial" w:eastAsia="Times New Roman" w:hAnsi="Arial" w:cs="Arial"/>
                <w:b/>
                <w:bCs/>
                <w:color w:val="000000"/>
                <w:sz w:val="20"/>
                <w:szCs w:val="20"/>
                <w:lang w:val="en-GB" w:eastAsia="en-GB"/>
              </w:rPr>
            </w:pPr>
            <w:r w:rsidRPr="001B4493">
              <w:rPr>
                <w:rFonts w:ascii="Arial" w:eastAsia="Times New Roman" w:hAnsi="Arial" w:cs="Arial"/>
                <w:b/>
                <w:bCs/>
                <w:color w:val="000000"/>
                <w:sz w:val="20"/>
                <w:szCs w:val="20"/>
                <w:lang w:val="en-GB" w:eastAsia="en-GB"/>
              </w:rPr>
              <w:t>GP Report %</w:t>
            </w:r>
          </w:p>
        </w:tc>
        <w:tc>
          <w:tcPr>
            <w:tcW w:w="1327" w:type="dxa"/>
            <w:tcBorders>
              <w:top w:val="single" w:sz="4" w:space="0" w:color="757171"/>
              <w:left w:val="single" w:sz="4" w:space="0" w:color="FFFFFF"/>
              <w:bottom w:val="single" w:sz="4" w:space="0" w:color="757171"/>
              <w:right w:val="single" w:sz="4" w:space="0" w:color="FFFFFF"/>
            </w:tcBorders>
            <w:shd w:val="clear" w:color="000000" w:fill="FFFFFF"/>
            <w:vAlign w:val="bottom"/>
            <w:hideMark/>
          </w:tcPr>
          <w:p w14:paraId="7D5F1F7B" w14:textId="77777777" w:rsidR="001B4493" w:rsidRPr="001B4493" w:rsidRDefault="001B4493" w:rsidP="001B4493">
            <w:pPr>
              <w:spacing w:after="0" w:line="240" w:lineRule="auto"/>
              <w:jc w:val="center"/>
              <w:rPr>
                <w:rFonts w:ascii="Arial" w:eastAsia="Times New Roman" w:hAnsi="Arial" w:cs="Arial"/>
                <w:b/>
                <w:bCs/>
                <w:color w:val="000000"/>
                <w:sz w:val="20"/>
                <w:szCs w:val="20"/>
                <w:lang w:val="en-GB" w:eastAsia="en-GB"/>
              </w:rPr>
            </w:pPr>
            <w:r w:rsidRPr="001B4493">
              <w:rPr>
                <w:rFonts w:ascii="Arial" w:eastAsia="Times New Roman" w:hAnsi="Arial" w:cs="Arial"/>
                <w:b/>
                <w:bCs/>
                <w:color w:val="000000"/>
                <w:sz w:val="20"/>
                <w:szCs w:val="20"/>
                <w:lang w:val="en-GB" w:eastAsia="en-GB"/>
              </w:rPr>
              <w:t>Medical Examiner #</w:t>
            </w:r>
          </w:p>
        </w:tc>
        <w:tc>
          <w:tcPr>
            <w:tcW w:w="1327" w:type="dxa"/>
            <w:tcBorders>
              <w:top w:val="single" w:sz="4" w:space="0" w:color="757171"/>
              <w:left w:val="single" w:sz="4" w:space="0" w:color="FFFFFF"/>
              <w:bottom w:val="single" w:sz="4" w:space="0" w:color="757171"/>
              <w:right w:val="single" w:sz="4" w:space="0" w:color="FFFFFF"/>
            </w:tcBorders>
            <w:shd w:val="clear" w:color="000000" w:fill="FFFFFF"/>
            <w:vAlign w:val="bottom"/>
            <w:hideMark/>
          </w:tcPr>
          <w:p w14:paraId="4547B6E8" w14:textId="77777777" w:rsidR="001B4493" w:rsidRPr="001B4493" w:rsidRDefault="001B4493" w:rsidP="001B4493">
            <w:pPr>
              <w:spacing w:after="0" w:line="240" w:lineRule="auto"/>
              <w:jc w:val="center"/>
              <w:rPr>
                <w:rFonts w:ascii="Arial" w:eastAsia="Times New Roman" w:hAnsi="Arial" w:cs="Arial"/>
                <w:b/>
                <w:bCs/>
                <w:color w:val="000000"/>
                <w:sz w:val="20"/>
                <w:szCs w:val="20"/>
                <w:lang w:val="en-GB" w:eastAsia="en-GB"/>
              </w:rPr>
            </w:pPr>
            <w:r w:rsidRPr="001B4493">
              <w:rPr>
                <w:rFonts w:ascii="Arial" w:eastAsia="Times New Roman" w:hAnsi="Arial" w:cs="Arial"/>
                <w:b/>
                <w:bCs/>
                <w:color w:val="000000"/>
                <w:sz w:val="20"/>
                <w:szCs w:val="20"/>
                <w:lang w:val="en-GB" w:eastAsia="en-GB"/>
              </w:rPr>
              <w:t>Medical Examiner %</w:t>
            </w:r>
          </w:p>
        </w:tc>
        <w:tc>
          <w:tcPr>
            <w:tcW w:w="1255" w:type="dxa"/>
            <w:tcBorders>
              <w:top w:val="single" w:sz="4" w:space="0" w:color="757171"/>
              <w:left w:val="single" w:sz="4" w:space="0" w:color="auto"/>
              <w:bottom w:val="single" w:sz="4" w:space="0" w:color="757171"/>
              <w:right w:val="single" w:sz="4" w:space="0" w:color="FFFFFF"/>
            </w:tcBorders>
            <w:shd w:val="clear" w:color="000000" w:fill="FFFFFF"/>
            <w:vAlign w:val="bottom"/>
            <w:hideMark/>
          </w:tcPr>
          <w:p w14:paraId="6B40C602" w14:textId="77777777" w:rsidR="001B4493" w:rsidRPr="001B4493" w:rsidRDefault="001B4493" w:rsidP="001B4493">
            <w:pPr>
              <w:spacing w:after="0" w:line="240" w:lineRule="auto"/>
              <w:jc w:val="center"/>
              <w:rPr>
                <w:rFonts w:ascii="Arial" w:eastAsia="Times New Roman" w:hAnsi="Arial" w:cs="Arial"/>
                <w:b/>
                <w:bCs/>
                <w:color w:val="000000"/>
                <w:sz w:val="20"/>
                <w:szCs w:val="20"/>
                <w:lang w:val="en-GB" w:eastAsia="en-GB"/>
              </w:rPr>
            </w:pPr>
            <w:r w:rsidRPr="001B4493">
              <w:rPr>
                <w:rFonts w:ascii="Arial" w:eastAsia="Times New Roman" w:hAnsi="Arial" w:cs="Arial"/>
                <w:b/>
                <w:bCs/>
                <w:color w:val="000000"/>
                <w:sz w:val="20"/>
                <w:szCs w:val="20"/>
                <w:lang w:val="en-GB" w:eastAsia="en-GB"/>
              </w:rPr>
              <w:t>S166 Form #</w:t>
            </w:r>
          </w:p>
        </w:tc>
        <w:tc>
          <w:tcPr>
            <w:tcW w:w="1363" w:type="dxa"/>
            <w:tcBorders>
              <w:top w:val="single" w:sz="4" w:space="0" w:color="757171"/>
              <w:left w:val="single" w:sz="4" w:space="0" w:color="FFFFFF"/>
              <w:bottom w:val="single" w:sz="4" w:space="0" w:color="757171"/>
              <w:right w:val="single" w:sz="4" w:space="0" w:color="757171"/>
            </w:tcBorders>
            <w:shd w:val="clear" w:color="000000" w:fill="FFFFFF"/>
            <w:vAlign w:val="bottom"/>
            <w:hideMark/>
          </w:tcPr>
          <w:p w14:paraId="2EF931DD" w14:textId="77777777" w:rsidR="001B4493" w:rsidRPr="001B4493" w:rsidRDefault="001B4493" w:rsidP="001B4493">
            <w:pPr>
              <w:spacing w:after="0" w:line="240" w:lineRule="auto"/>
              <w:jc w:val="center"/>
              <w:rPr>
                <w:rFonts w:ascii="Arial" w:eastAsia="Times New Roman" w:hAnsi="Arial" w:cs="Arial"/>
                <w:b/>
                <w:bCs/>
                <w:color w:val="000000"/>
                <w:sz w:val="20"/>
                <w:szCs w:val="20"/>
                <w:lang w:val="en-GB" w:eastAsia="en-GB"/>
              </w:rPr>
            </w:pPr>
            <w:r w:rsidRPr="001B4493">
              <w:rPr>
                <w:rFonts w:ascii="Arial" w:eastAsia="Times New Roman" w:hAnsi="Arial" w:cs="Arial"/>
                <w:b/>
                <w:bCs/>
                <w:color w:val="000000"/>
                <w:sz w:val="20"/>
                <w:szCs w:val="20"/>
                <w:lang w:val="en-GB" w:eastAsia="en-GB"/>
              </w:rPr>
              <w:t>S166 Form %</w:t>
            </w:r>
          </w:p>
        </w:tc>
      </w:tr>
      <w:tr w:rsidR="001B4493" w:rsidRPr="001B4493" w14:paraId="0F6070D5" w14:textId="77777777" w:rsidTr="001B4493">
        <w:trPr>
          <w:trHeight w:val="255"/>
        </w:trPr>
        <w:tc>
          <w:tcPr>
            <w:tcW w:w="1276" w:type="dxa"/>
            <w:tcBorders>
              <w:top w:val="single" w:sz="4" w:space="0" w:color="FFFFFF"/>
              <w:left w:val="single" w:sz="4" w:space="0" w:color="FFFFFF"/>
              <w:bottom w:val="single" w:sz="4" w:space="0" w:color="FFFFFF"/>
              <w:right w:val="single" w:sz="4" w:space="0" w:color="FFFFFF"/>
            </w:tcBorders>
            <w:shd w:val="clear" w:color="000000" w:fill="99BD66"/>
            <w:noWrap/>
            <w:vAlign w:val="bottom"/>
            <w:hideMark/>
          </w:tcPr>
          <w:p w14:paraId="36553AB7" w14:textId="77777777" w:rsidR="001B4493" w:rsidRPr="001B4493" w:rsidRDefault="001B4493" w:rsidP="001B4493">
            <w:pPr>
              <w:spacing w:after="0" w:line="240" w:lineRule="auto"/>
              <w:jc w:val="center"/>
              <w:rPr>
                <w:rFonts w:ascii="Arial" w:eastAsia="Times New Roman" w:hAnsi="Arial" w:cs="Arial"/>
                <w:b/>
                <w:bCs/>
                <w:color w:val="000000"/>
                <w:sz w:val="20"/>
                <w:szCs w:val="20"/>
                <w:lang w:val="en-GB" w:eastAsia="en-GB"/>
              </w:rPr>
            </w:pPr>
            <w:r w:rsidRPr="001B4493">
              <w:rPr>
                <w:rFonts w:ascii="Arial" w:eastAsia="Times New Roman" w:hAnsi="Arial" w:cs="Arial"/>
                <w:b/>
                <w:bCs/>
                <w:color w:val="000000"/>
                <w:sz w:val="20"/>
                <w:szCs w:val="20"/>
                <w:lang w:val="en-GB" w:eastAsia="en-GB"/>
              </w:rPr>
              <w:t>Yes</w:t>
            </w:r>
          </w:p>
        </w:tc>
        <w:tc>
          <w:tcPr>
            <w:tcW w:w="1273" w:type="dxa"/>
            <w:tcBorders>
              <w:top w:val="single" w:sz="4" w:space="0" w:color="FFFFFF"/>
              <w:left w:val="single" w:sz="4" w:space="0" w:color="auto"/>
              <w:bottom w:val="single" w:sz="4" w:space="0" w:color="FFFFFF"/>
              <w:right w:val="single" w:sz="4" w:space="0" w:color="FFFFFF"/>
            </w:tcBorders>
            <w:shd w:val="clear" w:color="000000" w:fill="FFFFFF"/>
            <w:noWrap/>
            <w:vAlign w:val="bottom"/>
            <w:hideMark/>
          </w:tcPr>
          <w:p w14:paraId="7EBA3D7E" w14:textId="77777777" w:rsidR="001B4493" w:rsidRPr="001B4493" w:rsidRDefault="001B4493" w:rsidP="001B4493">
            <w:pPr>
              <w:spacing w:after="0" w:line="240" w:lineRule="auto"/>
              <w:jc w:val="center"/>
              <w:rPr>
                <w:rFonts w:ascii="Arial" w:eastAsia="Times New Roman" w:hAnsi="Arial" w:cs="Arial"/>
                <w:color w:val="757171"/>
                <w:sz w:val="20"/>
                <w:szCs w:val="20"/>
                <w:lang w:val="en-GB" w:eastAsia="en-GB"/>
              </w:rPr>
            </w:pPr>
            <w:r w:rsidRPr="001B4493">
              <w:rPr>
                <w:rFonts w:ascii="Arial" w:eastAsia="Times New Roman" w:hAnsi="Arial" w:cs="Arial"/>
                <w:color w:val="757171"/>
                <w:sz w:val="20"/>
                <w:szCs w:val="20"/>
                <w:lang w:val="en-GB" w:eastAsia="en-GB"/>
              </w:rPr>
              <w:t>287</w:t>
            </w:r>
          </w:p>
        </w:tc>
        <w:tc>
          <w:tcPr>
            <w:tcW w:w="1309" w:type="dxa"/>
            <w:tcBorders>
              <w:top w:val="single" w:sz="4" w:space="0" w:color="FFFFFF"/>
              <w:left w:val="nil"/>
              <w:bottom w:val="single" w:sz="4" w:space="0" w:color="FFFFFF"/>
              <w:right w:val="single" w:sz="4" w:space="0" w:color="auto"/>
            </w:tcBorders>
            <w:shd w:val="clear" w:color="000000" w:fill="FFFFFF"/>
            <w:noWrap/>
            <w:vAlign w:val="bottom"/>
            <w:hideMark/>
          </w:tcPr>
          <w:p w14:paraId="49D601C2" w14:textId="77777777" w:rsidR="001B4493" w:rsidRPr="001B4493" w:rsidRDefault="001B4493" w:rsidP="001B4493">
            <w:pPr>
              <w:spacing w:after="0" w:line="240" w:lineRule="auto"/>
              <w:jc w:val="center"/>
              <w:rPr>
                <w:rFonts w:ascii="Arial" w:eastAsia="Times New Roman" w:hAnsi="Arial" w:cs="Arial"/>
                <w:color w:val="757171"/>
                <w:sz w:val="20"/>
                <w:szCs w:val="20"/>
                <w:lang w:val="en-GB" w:eastAsia="en-GB"/>
              </w:rPr>
            </w:pPr>
            <w:r w:rsidRPr="001B4493">
              <w:rPr>
                <w:rFonts w:ascii="Arial" w:eastAsia="Times New Roman" w:hAnsi="Arial" w:cs="Arial"/>
                <w:color w:val="757171"/>
                <w:sz w:val="20"/>
                <w:szCs w:val="20"/>
                <w:lang w:val="en-GB" w:eastAsia="en-GB"/>
              </w:rPr>
              <w:t>84%</w:t>
            </w:r>
          </w:p>
        </w:tc>
        <w:tc>
          <w:tcPr>
            <w:tcW w:w="1327" w:type="dxa"/>
            <w:tcBorders>
              <w:top w:val="single" w:sz="4" w:space="0" w:color="FFFFFF"/>
              <w:left w:val="single" w:sz="4" w:space="0" w:color="FFFFFF"/>
              <w:bottom w:val="single" w:sz="4" w:space="0" w:color="FFFFFF"/>
              <w:right w:val="single" w:sz="4" w:space="0" w:color="FFFFFF"/>
            </w:tcBorders>
            <w:shd w:val="clear" w:color="000000" w:fill="FFFFFF"/>
            <w:noWrap/>
            <w:vAlign w:val="bottom"/>
            <w:hideMark/>
          </w:tcPr>
          <w:p w14:paraId="320E5A67" w14:textId="77777777" w:rsidR="001B4493" w:rsidRPr="001B4493" w:rsidRDefault="001B4493" w:rsidP="001B4493">
            <w:pPr>
              <w:spacing w:after="0" w:line="240" w:lineRule="auto"/>
              <w:jc w:val="center"/>
              <w:rPr>
                <w:rFonts w:ascii="Arial" w:eastAsia="Times New Roman" w:hAnsi="Arial" w:cs="Arial"/>
                <w:color w:val="757171"/>
                <w:sz w:val="20"/>
                <w:szCs w:val="20"/>
                <w:lang w:val="en-GB" w:eastAsia="en-GB"/>
              </w:rPr>
            </w:pPr>
            <w:r w:rsidRPr="001B4493">
              <w:rPr>
                <w:rFonts w:ascii="Arial" w:eastAsia="Times New Roman" w:hAnsi="Arial" w:cs="Arial"/>
                <w:color w:val="757171"/>
                <w:sz w:val="20"/>
                <w:szCs w:val="20"/>
                <w:lang w:val="en-GB" w:eastAsia="en-GB"/>
              </w:rPr>
              <w:t>66</w:t>
            </w:r>
          </w:p>
        </w:tc>
        <w:tc>
          <w:tcPr>
            <w:tcW w:w="1327" w:type="dxa"/>
            <w:tcBorders>
              <w:top w:val="single" w:sz="4" w:space="0" w:color="FFFFFF"/>
              <w:left w:val="nil"/>
              <w:bottom w:val="single" w:sz="4" w:space="0" w:color="FFFFFF"/>
              <w:right w:val="single" w:sz="4" w:space="0" w:color="FFFFFF"/>
            </w:tcBorders>
            <w:shd w:val="clear" w:color="000000" w:fill="FFFFFF"/>
            <w:noWrap/>
            <w:vAlign w:val="bottom"/>
            <w:hideMark/>
          </w:tcPr>
          <w:p w14:paraId="6BAEDC9C" w14:textId="77777777" w:rsidR="001B4493" w:rsidRPr="001B4493" w:rsidRDefault="001B4493" w:rsidP="001B4493">
            <w:pPr>
              <w:spacing w:after="0" w:line="240" w:lineRule="auto"/>
              <w:jc w:val="center"/>
              <w:rPr>
                <w:rFonts w:ascii="Arial" w:eastAsia="Times New Roman" w:hAnsi="Arial" w:cs="Arial"/>
                <w:color w:val="757171"/>
                <w:sz w:val="20"/>
                <w:szCs w:val="20"/>
                <w:lang w:val="en-GB" w:eastAsia="en-GB"/>
              </w:rPr>
            </w:pPr>
            <w:r w:rsidRPr="001B4493">
              <w:rPr>
                <w:rFonts w:ascii="Arial" w:eastAsia="Times New Roman" w:hAnsi="Arial" w:cs="Arial"/>
                <w:color w:val="757171"/>
                <w:sz w:val="20"/>
                <w:szCs w:val="20"/>
                <w:lang w:val="en-GB" w:eastAsia="en-GB"/>
              </w:rPr>
              <w:t>19%</w:t>
            </w:r>
          </w:p>
        </w:tc>
        <w:tc>
          <w:tcPr>
            <w:tcW w:w="1255" w:type="dxa"/>
            <w:tcBorders>
              <w:top w:val="single" w:sz="4" w:space="0" w:color="FFFFFF"/>
              <w:left w:val="single" w:sz="4" w:space="0" w:color="auto"/>
              <w:bottom w:val="single" w:sz="4" w:space="0" w:color="FFFFFF"/>
              <w:right w:val="single" w:sz="4" w:space="0" w:color="FFFFFF"/>
            </w:tcBorders>
            <w:shd w:val="clear" w:color="000000" w:fill="FFFFFF"/>
            <w:noWrap/>
            <w:vAlign w:val="bottom"/>
            <w:hideMark/>
          </w:tcPr>
          <w:p w14:paraId="2E52398B" w14:textId="77777777" w:rsidR="001B4493" w:rsidRPr="001B4493" w:rsidRDefault="001B4493" w:rsidP="001B4493">
            <w:pPr>
              <w:spacing w:after="0" w:line="240" w:lineRule="auto"/>
              <w:jc w:val="center"/>
              <w:rPr>
                <w:rFonts w:ascii="Arial" w:eastAsia="Times New Roman" w:hAnsi="Arial" w:cs="Arial"/>
                <w:color w:val="757171"/>
                <w:sz w:val="20"/>
                <w:szCs w:val="20"/>
                <w:lang w:val="en-GB" w:eastAsia="en-GB"/>
              </w:rPr>
            </w:pPr>
            <w:r w:rsidRPr="001B4493">
              <w:rPr>
                <w:rFonts w:ascii="Arial" w:eastAsia="Times New Roman" w:hAnsi="Arial" w:cs="Arial"/>
                <w:color w:val="757171"/>
                <w:sz w:val="20"/>
                <w:szCs w:val="20"/>
                <w:lang w:val="en-GB" w:eastAsia="en-GB"/>
              </w:rPr>
              <w:t>94</w:t>
            </w:r>
          </w:p>
        </w:tc>
        <w:tc>
          <w:tcPr>
            <w:tcW w:w="1363" w:type="dxa"/>
            <w:tcBorders>
              <w:top w:val="single" w:sz="4" w:space="0" w:color="FFFFFF"/>
              <w:left w:val="nil"/>
              <w:bottom w:val="single" w:sz="4" w:space="0" w:color="FFFFFF"/>
              <w:right w:val="single" w:sz="4" w:space="0" w:color="FFFFFF"/>
            </w:tcBorders>
            <w:shd w:val="clear" w:color="000000" w:fill="FFFFFF"/>
            <w:noWrap/>
            <w:vAlign w:val="bottom"/>
            <w:hideMark/>
          </w:tcPr>
          <w:p w14:paraId="2376607D" w14:textId="77777777" w:rsidR="001B4493" w:rsidRPr="001B4493" w:rsidRDefault="001B4493" w:rsidP="001B4493">
            <w:pPr>
              <w:spacing w:after="0" w:line="240" w:lineRule="auto"/>
              <w:jc w:val="center"/>
              <w:rPr>
                <w:rFonts w:ascii="Arial" w:eastAsia="Times New Roman" w:hAnsi="Arial" w:cs="Arial"/>
                <w:color w:val="757171"/>
                <w:sz w:val="20"/>
                <w:szCs w:val="20"/>
                <w:lang w:val="en-GB" w:eastAsia="en-GB"/>
              </w:rPr>
            </w:pPr>
            <w:r w:rsidRPr="001B4493">
              <w:rPr>
                <w:rFonts w:ascii="Arial" w:eastAsia="Times New Roman" w:hAnsi="Arial" w:cs="Arial"/>
                <w:color w:val="757171"/>
                <w:sz w:val="20"/>
                <w:szCs w:val="20"/>
                <w:lang w:val="en-GB" w:eastAsia="en-GB"/>
              </w:rPr>
              <w:t>28%</w:t>
            </w:r>
          </w:p>
        </w:tc>
      </w:tr>
      <w:tr w:rsidR="001B4493" w:rsidRPr="001B4493" w14:paraId="555BD1E2" w14:textId="77777777" w:rsidTr="001B4493">
        <w:trPr>
          <w:trHeight w:val="255"/>
        </w:trPr>
        <w:tc>
          <w:tcPr>
            <w:tcW w:w="1276" w:type="dxa"/>
            <w:tcBorders>
              <w:top w:val="single" w:sz="4" w:space="0" w:color="FFFFFF"/>
              <w:left w:val="single" w:sz="4" w:space="0" w:color="FFFFFF"/>
              <w:bottom w:val="single" w:sz="4" w:space="0" w:color="FFFFFF"/>
              <w:right w:val="single" w:sz="4" w:space="0" w:color="FFFFFF"/>
            </w:tcBorders>
            <w:shd w:val="clear" w:color="000000" w:fill="FF7D67"/>
            <w:noWrap/>
            <w:vAlign w:val="bottom"/>
            <w:hideMark/>
          </w:tcPr>
          <w:p w14:paraId="01D5518E" w14:textId="77777777" w:rsidR="001B4493" w:rsidRPr="001B4493" w:rsidRDefault="001B4493" w:rsidP="001B4493">
            <w:pPr>
              <w:spacing w:after="0" w:line="240" w:lineRule="auto"/>
              <w:jc w:val="center"/>
              <w:rPr>
                <w:rFonts w:ascii="Arial" w:eastAsia="Times New Roman" w:hAnsi="Arial" w:cs="Arial"/>
                <w:b/>
                <w:bCs/>
                <w:color w:val="000000"/>
                <w:sz w:val="20"/>
                <w:szCs w:val="20"/>
                <w:lang w:val="en-GB" w:eastAsia="en-GB"/>
              </w:rPr>
            </w:pPr>
            <w:r w:rsidRPr="001B4493">
              <w:rPr>
                <w:rFonts w:ascii="Arial" w:eastAsia="Times New Roman" w:hAnsi="Arial" w:cs="Arial"/>
                <w:b/>
                <w:bCs/>
                <w:color w:val="000000"/>
                <w:sz w:val="20"/>
                <w:szCs w:val="20"/>
                <w:lang w:val="en-GB" w:eastAsia="en-GB"/>
              </w:rPr>
              <w:t>No</w:t>
            </w:r>
          </w:p>
        </w:tc>
        <w:tc>
          <w:tcPr>
            <w:tcW w:w="1273" w:type="dxa"/>
            <w:tcBorders>
              <w:top w:val="nil"/>
              <w:left w:val="single" w:sz="4" w:space="0" w:color="auto"/>
              <w:bottom w:val="single" w:sz="4" w:space="0" w:color="FFFFFF"/>
              <w:right w:val="single" w:sz="4" w:space="0" w:color="FFFFFF"/>
            </w:tcBorders>
            <w:shd w:val="clear" w:color="000000" w:fill="FFFFFF"/>
            <w:noWrap/>
            <w:vAlign w:val="bottom"/>
            <w:hideMark/>
          </w:tcPr>
          <w:p w14:paraId="6FA67492" w14:textId="77777777" w:rsidR="001B4493" w:rsidRPr="001B4493" w:rsidRDefault="001B4493" w:rsidP="001B4493">
            <w:pPr>
              <w:spacing w:after="0" w:line="240" w:lineRule="auto"/>
              <w:jc w:val="center"/>
              <w:rPr>
                <w:rFonts w:ascii="Arial" w:eastAsia="Times New Roman" w:hAnsi="Arial" w:cs="Arial"/>
                <w:color w:val="757171"/>
                <w:sz w:val="20"/>
                <w:szCs w:val="20"/>
                <w:lang w:val="en-GB" w:eastAsia="en-GB"/>
              </w:rPr>
            </w:pPr>
            <w:r w:rsidRPr="001B4493">
              <w:rPr>
                <w:rFonts w:ascii="Arial" w:eastAsia="Times New Roman" w:hAnsi="Arial" w:cs="Arial"/>
                <w:color w:val="757171"/>
                <w:sz w:val="20"/>
                <w:szCs w:val="20"/>
                <w:lang w:val="en-GB" w:eastAsia="en-GB"/>
              </w:rPr>
              <w:t>53</w:t>
            </w:r>
          </w:p>
        </w:tc>
        <w:tc>
          <w:tcPr>
            <w:tcW w:w="1309" w:type="dxa"/>
            <w:tcBorders>
              <w:top w:val="nil"/>
              <w:left w:val="nil"/>
              <w:bottom w:val="single" w:sz="4" w:space="0" w:color="FFFFFF"/>
              <w:right w:val="single" w:sz="4" w:space="0" w:color="auto"/>
            </w:tcBorders>
            <w:shd w:val="clear" w:color="000000" w:fill="FFFFFF"/>
            <w:noWrap/>
            <w:vAlign w:val="bottom"/>
            <w:hideMark/>
          </w:tcPr>
          <w:p w14:paraId="5FD309E3" w14:textId="77777777" w:rsidR="001B4493" w:rsidRPr="001B4493" w:rsidRDefault="001B4493" w:rsidP="001B4493">
            <w:pPr>
              <w:spacing w:after="0" w:line="240" w:lineRule="auto"/>
              <w:jc w:val="center"/>
              <w:rPr>
                <w:rFonts w:ascii="Arial" w:eastAsia="Times New Roman" w:hAnsi="Arial" w:cs="Arial"/>
                <w:color w:val="757171"/>
                <w:sz w:val="20"/>
                <w:szCs w:val="20"/>
                <w:lang w:val="en-GB" w:eastAsia="en-GB"/>
              </w:rPr>
            </w:pPr>
            <w:r w:rsidRPr="001B4493">
              <w:rPr>
                <w:rFonts w:ascii="Arial" w:eastAsia="Times New Roman" w:hAnsi="Arial" w:cs="Arial"/>
                <w:color w:val="757171"/>
                <w:sz w:val="20"/>
                <w:szCs w:val="20"/>
                <w:lang w:val="en-GB" w:eastAsia="en-GB"/>
              </w:rPr>
              <w:t>16%</w:t>
            </w:r>
          </w:p>
        </w:tc>
        <w:tc>
          <w:tcPr>
            <w:tcW w:w="1327" w:type="dxa"/>
            <w:tcBorders>
              <w:top w:val="nil"/>
              <w:left w:val="single" w:sz="4" w:space="0" w:color="FFFFFF"/>
              <w:bottom w:val="single" w:sz="4" w:space="0" w:color="FFFFFF"/>
              <w:right w:val="single" w:sz="4" w:space="0" w:color="FFFFFF"/>
            </w:tcBorders>
            <w:shd w:val="clear" w:color="000000" w:fill="FFFFFF"/>
            <w:noWrap/>
            <w:vAlign w:val="bottom"/>
            <w:hideMark/>
          </w:tcPr>
          <w:p w14:paraId="3E2F3C2E" w14:textId="77777777" w:rsidR="001B4493" w:rsidRPr="001B4493" w:rsidRDefault="001B4493" w:rsidP="001B4493">
            <w:pPr>
              <w:spacing w:after="0" w:line="240" w:lineRule="auto"/>
              <w:jc w:val="center"/>
              <w:rPr>
                <w:rFonts w:ascii="Arial" w:eastAsia="Times New Roman" w:hAnsi="Arial" w:cs="Arial"/>
                <w:color w:val="757171"/>
                <w:sz w:val="20"/>
                <w:szCs w:val="20"/>
                <w:lang w:val="en-GB" w:eastAsia="en-GB"/>
              </w:rPr>
            </w:pPr>
            <w:r w:rsidRPr="001B4493">
              <w:rPr>
                <w:rFonts w:ascii="Arial" w:eastAsia="Times New Roman" w:hAnsi="Arial" w:cs="Arial"/>
                <w:color w:val="757171"/>
                <w:sz w:val="20"/>
                <w:szCs w:val="20"/>
                <w:lang w:val="en-GB" w:eastAsia="en-GB"/>
              </w:rPr>
              <w:t>273</w:t>
            </w:r>
          </w:p>
        </w:tc>
        <w:tc>
          <w:tcPr>
            <w:tcW w:w="1327" w:type="dxa"/>
            <w:tcBorders>
              <w:top w:val="nil"/>
              <w:left w:val="nil"/>
              <w:bottom w:val="single" w:sz="4" w:space="0" w:color="FFFFFF"/>
              <w:right w:val="single" w:sz="4" w:space="0" w:color="FFFFFF"/>
            </w:tcBorders>
            <w:shd w:val="clear" w:color="000000" w:fill="FFFFFF"/>
            <w:noWrap/>
            <w:vAlign w:val="bottom"/>
            <w:hideMark/>
          </w:tcPr>
          <w:p w14:paraId="35248E13" w14:textId="77777777" w:rsidR="001B4493" w:rsidRPr="001B4493" w:rsidRDefault="001B4493" w:rsidP="001B4493">
            <w:pPr>
              <w:spacing w:after="0" w:line="240" w:lineRule="auto"/>
              <w:jc w:val="center"/>
              <w:rPr>
                <w:rFonts w:ascii="Arial" w:eastAsia="Times New Roman" w:hAnsi="Arial" w:cs="Arial"/>
                <w:color w:val="757171"/>
                <w:sz w:val="20"/>
                <w:szCs w:val="20"/>
                <w:lang w:val="en-GB" w:eastAsia="en-GB"/>
              </w:rPr>
            </w:pPr>
            <w:r w:rsidRPr="001B4493">
              <w:rPr>
                <w:rFonts w:ascii="Arial" w:eastAsia="Times New Roman" w:hAnsi="Arial" w:cs="Arial"/>
                <w:color w:val="757171"/>
                <w:sz w:val="20"/>
                <w:szCs w:val="20"/>
                <w:lang w:val="en-GB" w:eastAsia="en-GB"/>
              </w:rPr>
              <w:t>81%</w:t>
            </w:r>
          </w:p>
        </w:tc>
        <w:tc>
          <w:tcPr>
            <w:tcW w:w="1255" w:type="dxa"/>
            <w:tcBorders>
              <w:top w:val="nil"/>
              <w:left w:val="single" w:sz="4" w:space="0" w:color="auto"/>
              <w:bottom w:val="single" w:sz="4" w:space="0" w:color="FFFFFF"/>
              <w:right w:val="single" w:sz="4" w:space="0" w:color="FFFFFF"/>
            </w:tcBorders>
            <w:shd w:val="clear" w:color="000000" w:fill="FFFFFF"/>
            <w:noWrap/>
            <w:vAlign w:val="bottom"/>
            <w:hideMark/>
          </w:tcPr>
          <w:p w14:paraId="566B2ED1" w14:textId="77777777" w:rsidR="001B4493" w:rsidRPr="001B4493" w:rsidRDefault="001B4493" w:rsidP="001B4493">
            <w:pPr>
              <w:spacing w:after="0" w:line="240" w:lineRule="auto"/>
              <w:jc w:val="center"/>
              <w:rPr>
                <w:rFonts w:ascii="Arial" w:eastAsia="Times New Roman" w:hAnsi="Arial" w:cs="Arial"/>
                <w:color w:val="757171"/>
                <w:sz w:val="20"/>
                <w:szCs w:val="20"/>
                <w:lang w:val="en-GB" w:eastAsia="en-GB"/>
              </w:rPr>
            </w:pPr>
            <w:r w:rsidRPr="001B4493">
              <w:rPr>
                <w:rFonts w:ascii="Arial" w:eastAsia="Times New Roman" w:hAnsi="Arial" w:cs="Arial"/>
                <w:color w:val="757171"/>
                <w:sz w:val="20"/>
                <w:szCs w:val="20"/>
                <w:lang w:val="en-GB" w:eastAsia="en-GB"/>
              </w:rPr>
              <w:t>247</w:t>
            </w:r>
          </w:p>
        </w:tc>
        <w:tc>
          <w:tcPr>
            <w:tcW w:w="1363" w:type="dxa"/>
            <w:tcBorders>
              <w:top w:val="nil"/>
              <w:left w:val="nil"/>
              <w:bottom w:val="single" w:sz="4" w:space="0" w:color="FFFFFF"/>
              <w:right w:val="single" w:sz="4" w:space="0" w:color="FFFFFF"/>
            </w:tcBorders>
            <w:shd w:val="clear" w:color="000000" w:fill="FFFFFF"/>
            <w:noWrap/>
            <w:vAlign w:val="bottom"/>
            <w:hideMark/>
          </w:tcPr>
          <w:p w14:paraId="68EFDF71" w14:textId="77777777" w:rsidR="001B4493" w:rsidRPr="001B4493" w:rsidRDefault="001B4493" w:rsidP="001B4493">
            <w:pPr>
              <w:spacing w:after="0" w:line="240" w:lineRule="auto"/>
              <w:jc w:val="center"/>
              <w:rPr>
                <w:rFonts w:ascii="Arial" w:eastAsia="Times New Roman" w:hAnsi="Arial" w:cs="Arial"/>
                <w:color w:val="757171"/>
                <w:sz w:val="20"/>
                <w:szCs w:val="20"/>
                <w:lang w:val="en-GB" w:eastAsia="en-GB"/>
              </w:rPr>
            </w:pPr>
            <w:r w:rsidRPr="001B4493">
              <w:rPr>
                <w:rFonts w:ascii="Arial" w:eastAsia="Times New Roman" w:hAnsi="Arial" w:cs="Arial"/>
                <w:color w:val="757171"/>
                <w:sz w:val="20"/>
                <w:szCs w:val="20"/>
                <w:lang w:val="en-GB" w:eastAsia="en-GB"/>
              </w:rPr>
              <w:t>72%</w:t>
            </w:r>
          </w:p>
        </w:tc>
      </w:tr>
      <w:tr w:rsidR="001B4493" w:rsidRPr="001B4493" w14:paraId="2F667ED8" w14:textId="77777777" w:rsidTr="001B4493">
        <w:trPr>
          <w:trHeight w:val="255"/>
        </w:trPr>
        <w:tc>
          <w:tcPr>
            <w:tcW w:w="1276" w:type="dxa"/>
            <w:tcBorders>
              <w:top w:val="single" w:sz="4" w:space="0" w:color="757171"/>
              <w:left w:val="single" w:sz="4" w:space="0" w:color="757171"/>
              <w:bottom w:val="single" w:sz="4" w:space="0" w:color="757171"/>
              <w:right w:val="single" w:sz="4" w:space="0" w:color="757171"/>
            </w:tcBorders>
            <w:shd w:val="clear" w:color="FFFFFF" w:fill="F2F2F2"/>
            <w:noWrap/>
            <w:vAlign w:val="bottom"/>
            <w:hideMark/>
          </w:tcPr>
          <w:p w14:paraId="3E8FB128" w14:textId="77777777" w:rsidR="001B4493" w:rsidRPr="001B4493" w:rsidRDefault="001B4493" w:rsidP="001B4493">
            <w:pPr>
              <w:spacing w:after="0" w:line="240" w:lineRule="auto"/>
              <w:jc w:val="center"/>
              <w:rPr>
                <w:rFonts w:ascii="Arial" w:eastAsia="Times New Roman" w:hAnsi="Arial" w:cs="Arial"/>
                <w:b/>
                <w:bCs/>
                <w:color w:val="000000"/>
                <w:sz w:val="20"/>
                <w:szCs w:val="20"/>
                <w:lang w:val="en-GB" w:eastAsia="en-GB"/>
              </w:rPr>
            </w:pPr>
            <w:r w:rsidRPr="001B4493">
              <w:rPr>
                <w:rFonts w:ascii="Arial" w:eastAsia="Times New Roman" w:hAnsi="Arial" w:cs="Arial"/>
                <w:b/>
                <w:bCs/>
                <w:color w:val="000000"/>
                <w:sz w:val="20"/>
                <w:szCs w:val="20"/>
                <w:lang w:val="en-GB" w:eastAsia="en-GB"/>
              </w:rPr>
              <w:t>Total</w:t>
            </w:r>
          </w:p>
        </w:tc>
        <w:tc>
          <w:tcPr>
            <w:tcW w:w="1273" w:type="dxa"/>
            <w:tcBorders>
              <w:top w:val="single" w:sz="4" w:space="0" w:color="757171"/>
              <w:left w:val="single" w:sz="4" w:space="0" w:color="auto"/>
              <w:bottom w:val="single" w:sz="4" w:space="0" w:color="757171"/>
              <w:right w:val="single" w:sz="4" w:space="0" w:color="FFFFFF"/>
            </w:tcBorders>
            <w:shd w:val="clear" w:color="000000" w:fill="FFFFFF"/>
            <w:noWrap/>
            <w:vAlign w:val="bottom"/>
            <w:hideMark/>
          </w:tcPr>
          <w:p w14:paraId="298C0E25" w14:textId="77777777" w:rsidR="001B4493" w:rsidRPr="001B4493" w:rsidRDefault="001B4493" w:rsidP="001B4493">
            <w:pPr>
              <w:spacing w:after="0" w:line="240" w:lineRule="auto"/>
              <w:jc w:val="center"/>
              <w:rPr>
                <w:rFonts w:ascii="Arial" w:eastAsia="Times New Roman" w:hAnsi="Arial" w:cs="Arial"/>
                <w:b/>
                <w:bCs/>
                <w:color w:val="000000"/>
                <w:sz w:val="20"/>
                <w:szCs w:val="20"/>
                <w:lang w:val="en-GB" w:eastAsia="en-GB"/>
              </w:rPr>
            </w:pPr>
            <w:r w:rsidRPr="001B4493">
              <w:rPr>
                <w:rFonts w:ascii="Arial" w:eastAsia="Times New Roman" w:hAnsi="Arial" w:cs="Arial"/>
                <w:b/>
                <w:bCs/>
                <w:color w:val="000000"/>
                <w:sz w:val="20"/>
                <w:szCs w:val="20"/>
                <w:lang w:val="en-GB" w:eastAsia="en-GB"/>
              </w:rPr>
              <w:t>340</w:t>
            </w:r>
          </w:p>
        </w:tc>
        <w:tc>
          <w:tcPr>
            <w:tcW w:w="1309" w:type="dxa"/>
            <w:tcBorders>
              <w:top w:val="single" w:sz="4" w:space="0" w:color="757171"/>
              <w:left w:val="single" w:sz="4" w:space="0" w:color="FFFFFF"/>
              <w:bottom w:val="single" w:sz="4" w:space="0" w:color="757171"/>
              <w:right w:val="single" w:sz="4" w:space="0" w:color="auto"/>
            </w:tcBorders>
            <w:shd w:val="clear" w:color="000000" w:fill="FFFFFF"/>
            <w:noWrap/>
            <w:vAlign w:val="bottom"/>
            <w:hideMark/>
          </w:tcPr>
          <w:p w14:paraId="7D076745" w14:textId="77777777" w:rsidR="001B4493" w:rsidRPr="001B4493" w:rsidRDefault="001B4493" w:rsidP="001B4493">
            <w:pPr>
              <w:spacing w:after="0" w:line="240" w:lineRule="auto"/>
              <w:jc w:val="center"/>
              <w:rPr>
                <w:rFonts w:ascii="Arial" w:eastAsia="Times New Roman" w:hAnsi="Arial" w:cs="Arial"/>
                <w:b/>
                <w:bCs/>
                <w:color w:val="000000"/>
                <w:sz w:val="20"/>
                <w:szCs w:val="20"/>
                <w:lang w:val="en-GB" w:eastAsia="en-GB"/>
              </w:rPr>
            </w:pPr>
            <w:r w:rsidRPr="001B4493">
              <w:rPr>
                <w:rFonts w:ascii="Arial" w:eastAsia="Times New Roman" w:hAnsi="Arial" w:cs="Arial"/>
                <w:b/>
                <w:bCs/>
                <w:color w:val="000000"/>
                <w:sz w:val="20"/>
                <w:szCs w:val="20"/>
                <w:lang w:val="en-GB" w:eastAsia="en-GB"/>
              </w:rPr>
              <w:t>100%</w:t>
            </w:r>
          </w:p>
        </w:tc>
        <w:tc>
          <w:tcPr>
            <w:tcW w:w="1327" w:type="dxa"/>
            <w:tcBorders>
              <w:top w:val="single" w:sz="4" w:space="0" w:color="757171"/>
              <w:left w:val="single" w:sz="4" w:space="0" w:color="FFFFFF"/>
              <w:bottom w:val="single" w:sz="4" w:space="0" w:color="757171"/>
              <w:right w:val="single" w:sz="4" w:space="0" w:color="FFFFFF"/>
            </w:tcBorders>
            <w:shd w:val="clear" w:color="000000" w:fill="FFFFFF"/>
            <w:noWrap/>
            <w:vAlign w:val="bottom"/>
            <w:hideMark/>
          </w:tcPr>
          <w:p w14:paraId="2011CD5C" w14:textId="77777777" w:rsidR="001B4493" w:rsidRPr="001B4493" w:rsidRDefault="001B4493" w:rsidP="001B4493">
            <w:pPr>
              <w:spacing w:after="0" w:line="240" w:lineRule="auto"/>
              <w:jc w:val="center"/>
              <w:rPr>
                <w:rFonts w:ascii="Arial" w:eastAsia="Times New Roman" w:hAnsi="Arial" w:cs="Arial"/>
                <w:b/>
                <w:bCs/>
                <w:color w:val="000000"/>
                <w:sz w:val="20"/>
                <w:szCs w:val="20"/>
                <w:lang w:val="en-GB" w:eastAsia="en-GB"/>
              </w:rPr>
            </w:pPr>
            <w:r w:rsidRPr="001B4493">
              <w:rPr>
                <w:rFonts w:ascii="Arial" w:eastAsia="Times New Roman" w:hAnsi="Arial" w:cs="Arial"/>
                <w:b/>
                <w:bCs/>
                <w:color w:val="000000"/>
                <w:sz w:val="20"/>
                <w:szCs w:val="20"/>
                <w:lang w:val="en-GB" w:eastAsia="en-GB"/>
              </w:rPr>
              <w:t>339</w:t>
            </w:r>
          </w:p>
        </w:tc>
        <w:tc>
          <w:tcPr>
            <w:tcW w:w="1327" w:type="dxa"/>
            <w:tcBorders>
              <w:top w:val="single" w:sz="4" w:space="0" w:color="757171"/>
              <w:left w:val="single" w:sz="4" w:space="0" w:color="FFFFFF"/>
              <w:bottom w:val="single" w:sz="4" w:space="0" w:color="757171"/>
              <w:right w:val="single" w:sz="4" w:space="0" w:color="FFFFFF"/>
            </w:tcBorders>
            <w:shd w:val="clear" w:color="000000" w:fill="FFFFFF"/>
            <w:noWrap/>
            <w:vAlign w:val="bottom"/>
            <w:hideMark/>
          </w:tcPr>
          <w:p w14:paraId="66000FAC" w14:textId="77777777" w:rsidR="001B4493" w:rsidRPr="001B4493" w:rsidRDefault="001B4493" w:rsidP="001B4493">
            <w:pPr>
              <w:spacing w:after="0" w:line="240" w:lineRule="auto"/>
              <w:jc w:val="center"/>
              <w:rPr>
                <w:rFonts w:ascii="Arial" w:eastAsia="Times New Roman" w:hAnsi="Arial" w:cs="Arial"/>
                <w:b/>
                <w:bCs/>
                <w:color w:val="000000"/>
                <w:sz w:val="20"/>
                <w:szCs w:val="20"/>
                <w:lang w:val="en-GB" w:eastAsia="en-GB"/>
              </w:rPr>
            </w:pPr>
            <w:r w:rsidRPr="001B4493">
              <w:rPr>
                <w:rFonts w:ascii="Arial" w:eastAsia="Times New Roman" w:hAnsi="Arial" w:cs="Arial"/>
                <w:b/>
                <w:bCs/>
                <w:color w:val="000000"/>
                <w:sz w:val="20"/>
                <w:szCs w:val="20"/>
                <w:lang w:val="en-GB" w:eastAsia="en-GB"/>
              </w:rPr>
              <w:t>100%</w:t>
            </w:r>
          </w:p>
        </w:tc>
        <w:tc>
          <w:tcPr>
            <w:tcW w:w="1255" w:type="dxa"/>
            <w:tcBorders>
              <w:top w:val="single" w:sz="4" w:space="0" w:color="757171"/>
              <w:left w:val="single" w:sz="4" w:space="0" w:color="auto"/>
              <w:bottom w:val="single" w:sz="4" w:space="0" w:color="757171"/>
              <w:right w:val="single" w:sz="4" w:space="0" w:color="FFFFFF"/>
            </w:tcBorders>
            <w:shd w:val="clear" w:color="000000" w:fill="FFFFFF"/>
            <w:noWrap/>
            <w:vAlign w:val="bottom"/>
            <w:hideMark/>
          </w:tcPr>
          <w:p w14:paraId="2B661DBD" w14:textId="77777777" w:rsidR="001B4493" w:rsidRPr="001B4493" w:rsidRDefault="001B4493" w:rsidP="001B4493">
            <w:pPr>
              <w:spacing w:after="0" w:line="240" w:lineRule="auto"/>
              <w:jc w:val="center"/>
              <w:rPr>
                <w:rFonts w:ascii="Arial" w:eastAsia="Times New Roman" w:hAnsi="Arial" w:cs="Arial"/>
                <w:b/>
                <w:bCs/>
                <w:color w:val="000000"/>
                <w:sz w:val="20"/>
                <w:szCs w:val="20"/>
                <w:lang w:val="en-GB" w:eastAsia="en-GB"/>
              </w:rPr>
            </w:pPr>
            <w:r w:rsidRPr="001B4493">
              <w:rPr>
                <w:rFonts w:ascii="Arial" w:eastAsia="Times New Roman" w:hAnsi="Arial" w:cs="Arial"/>
                <w:b/>
                <w:bCs/>
                <w:color w:val="000000"/>
                <w:sz w:val="20"/>
                <w:szCs w:val="20"/>
                <w:lang w:val="en-GB" w:eastAsia="en-GB"/>
              </w:rPr>
              <w:t>341</w:t>
            </w:r>
          </w:p>
        </w:tc>
        <w:tc>
          <w:tcPr>
            <w:tcW w:w="1363" w:type="dxa"/>
            <w:tcBorders>
              <w:top w:val="single" w:sz="4" w:space="0" w:color="757171"/>
              <w:left w:val="single" w:sz="4" w:space="0" w:color="FFFFFF"/>
              <w:bottom w:val="single" w:sz="4" w:space="0" w:color="757171"/>
              <w:right w:val="single" w:sz="4" w:space="0" w:color="757171"/>
            </w:tcBorders>
            <w:shd w:val="clear" w:color="000000" w:fill="FFFFFF"/>
            <w:noWrap/>
            <w:vAlign w:val="bottom"/>
            <w:hideMark/>
          </w:tcPr>
          <w:p w14:paraId="078FB6DA" w14:textId="77777777" w:rsidR="001B4493" w:rsidRPr="001B4493" w:rsidRDefault="001B4493" w:rsidP="001B4493">
            <w:pPr>
              <w:spacing w:after="0" w:line="240" w:lineRule="auto"/>
              <w:jc w:val="center"/>
              <w:rPr>
                <w:rFonts w:ascii="Arial" w:eastAsia="Times New Roman" w:hAnsi="Arial" w:cs="Arial"/>
                <w:b/>
                <w:bCs/>
                <w:color w:val="000000"/>
                <w:sz w:val="20"/>
                <w:szCs w:val="20"/>
                <w:lang w:val="en-GB" w:eastAsia="en-GB"/>
              </w:rPr>
            </w:pPr>
            <w:r w:rsidRPr="001B4493">
              <w:rPr>
                <w:rFonts w:ascii="Arial" w:eastAsia="Times New Roman" w:hAnsi="Arial" w:cs="Arial"/>
                <w:b/>
                <w:bCs/>
                <w:color w:val="000000"/>
                <w:sz w:val="20"/>
                <w:szCs w:val="20"/>
                <w:lang w:val="en-GB" w:eastAsia="en-GB"/>
              </w:rPr>
              <w:t>100%</w:t>
            </w:r>
          </w:p>
        </w:tc>
      </w:tr>
    </w:tbl>
    <w:p w14:paraId="0C388630" w14:textId="18E21D66" w:rsidR="001B4493" w:rsidRDefault="001B4493" w:rsidP="001B4493">
      <w:pPr>
        <w:pStyle w:val="Caption"/>
      </w:pPr>
      <w:bookmarkStart w:id="107" w:name="_Toc512556869"/>
      <w:r>
        <w:t xml:space="preserve">Table </w:t>
      </w:r>
      <w:r>
        <w:fldChar w:fldCharType="begin"/>
      </w:r>
      <w:r>
        <w:instrText xml:space="preserve"> SEQ Table \* ARABIC </w:instrText>
      </w:r>
      <w:r>
        <w:fldChar w:fldCharType="separate"/>
      </w:r>
      <w:r w:rsidR="0099156B">
        <w:rPr>
          <w:noProof/>
        </w:rPr>
        <w:t>12</w:t>
      </w:r>
      <w:r>
        <w:fldChar w:fldCharType="end"/>
      </w:r>
      <w:r w:rsidR="000573F2">
        <w:t xml:space="preserve"> –</w:t>
      </w:r>
      <w:r>
        <w:t xml:space="preserve"> Authority procedures for processing applications for medical exemption</w:t>
      </w:r>
      <w:bookmarkEnd w:id="107"/>
    </w:p>
    <w:p w14:paraId="38E94C37" w14:textId="77777777" w:rsidR="0032041F" w:rsidRDefault="0032041F" w:rsidP="001B4493"/>
    <w:p w14:paraId="5F48C825" w14:textId="31C3A04C" w:rsidR="001B4493" w:rsidRDefault="001B4493" w:rsidP="001B4493">
      <w:r>
        <w:t>84% of authorities required or accepted a GP report to support a driver’s application for medical exemption from the duty to assist wheelchair users. Only 19% had appointed an external medical examiner to consider such applications, as advised by the DFT guidance. Only 28% of authorities supplied an application form for such exemptions. Most authorities accepted a free text application by letter etc., because they have had very few or no applications for exemption.</w:t>
      </w:r>
    </w:p>
    <w:p w14:paraId="12B51890" w14:textId="2092EC10" w:rsidR="001B4493" w:rsidRDefault="001B4493" w:rsidP="001B4493">
      <w:pPr>
        <w:pStyle w:val="Heading2"/>
      </w:pPr>
      <w:bookmarkStart w:id="108" w:name="_Toc512556906"/>
      <w:r>
        <w:t>Lists of vehicles that accommodate wheelchair users who can transfer</w:t>
      </w:r>
      <w:bookmarkEnd w:id="108"/>
    </w:p>
    <w:tbl>
      <w:tblPr>
        <w:tblW w:w="6284" w:type="dxa"/>
        <w:jc w:val="center"/>
        <w:tblLook w:val="04A0" w:firstRow="1" w:lastRow="0" w:firstColumn="1" w:lastColumn="0" w:noHBand="0" w:noVBand="1"/>
      </w:tblPr>
      <w:tblGrid>
        <w:gridCol w:w="1383"/>
        <w:gridCol w:w="2417"/>
        <w:gridCol w:w="2484"/>
      </w:tblGrid>
      <w:tr w:rsidR="001B4493" w:rsidRPr="001B4493" w14:paraId="3CE04EDB" w14:textId="77777777" w:rsidTr="0032041F">
        <w:trPr>
          <w:trHeight w:val="525"/>
          <w:jc w:val="center"/>
        </w:trPr>
        <w:tc>
          <w:tcPr>
            <w:tcW w:w="1383" w:type="dxa"/>
            <w:tcBorders>
              <w:top w:val="single" w:sz="4" w:space="0" w:color="757171"/>
              <w:left w:val="single" w:sz="4" w:space="0" w:color="757171"/>
              <w:bottom w:val="single" w:sz="4" w:space="0" w:color="757171"/>
              <w:right w:val="single" w:sz="4" w:space="0" w:color="757171"/>
            </w:tcBorders>
            <w:shd w:val="clear" w:color="000000" w:fill="FFFFFF"/>
            <w:vAlign w:val="bottom"/>
            <w:hideMark/>
          </w:tcPr>
          <w:p w14:paraId="77540E53" w14:textId="77777777" w:rsidR="001B4493" w:rsidRPr="001B4493" w:rsidRDefault="001B4493" w:rsidP="001B4493">
            <w:pPr>
              <w:spacing w:after="0" w:line="240" w:lineRule="auto"/>
              <w:jc w:val="center"/>
              <w:rPr>
                <w:rFonts w:ascii="Arial" w:eastAsia="Times New Roman" w:hAnsi="Arial" w:cs="Arial"/>
                <w:b/>
                <w:bCs/>
                <w:color w:val="000000"/>
                <w:sz w:val="20"/>
                <w:szCs w:val="20"/>
                <w:lang w:val="en-GB" w:eastAsia="en-GB"/>
              </w:rPr>
            </w:pPr>
            <w:r w:rsidRPr="001B4493">
              <w:rPr>
                <w:rFonts w:ascii="Arial" w:eastAsia="Times New Roman" w:hAnsi="Arial" w:cs="Arial"/>
                <w:b/>
                <w:bCs/>
                <w:color w:val="000000"/>
                <w:sz w:val="20"/>
                <w:szCs w:val="20"/>
                <w:lang w:val="en-GB" w:eastAsia="en-GB"/>
              </w:rPr>
              <w:t>Authorities</w:t>
            </w:r>
          </w:p>
        </w:tc>
        <w:tc>
          <w:tcPr>
            <w:tcW w:w="2417" w:type="dxa"/>
            <w:tcBorders>
              <w:top w:val="single" w:sz="4" w:space="0" w:color="757171"/>
              <w:left w:val="single" w:sz="4" w:space="0" w:color="FFFFFF"/>
              <w:bottom w:val="single" w:sz="4" w:space="0" w:color="757171"/>
              <w:right w:val="single" w:sz="4" w:space="0" w:color="FFFFFF"/>
            </w:tcBorders>
            <w:shd w:val="clear" w:color="000000" w:fill="FFFFFF"/>
            <w:vAlign w:val="bottom"/>
            <w:hideMark/>
          </w:tcPr>
          <w:p w14:paraId="6EB674D2" w14:textId="77777777" w:rsidR="001B4493" w:rsidRPr="001B4493" w:rsidRDefault="001B4493" w:rsidP="001B4493">
            <w:pPr>
              <w:spacing w:after="0" w:line="240" w:lineRule="auto"/>
              <w:jc w:val="center"/>
              <w:rPr>
                <w:rFonts w:ascii="Arial" w:eastAsia="Times New Roman" w:hAnsi="Arial" w:cs="Arial"/>
                <w:b/>
                <w:bCs/>
                <w:color w:val="000000"/>
                <w:sz w:val="20"/>
                <w:szCs w:val="20"/>
                <w:lang w:val="en-GB" w:eastAsia="en-GB"/>
              </w:rPr>
            </w:pPr>
            <w:r w:rsidRPr="001B4493">
              <w:rPr>
                <w:rFonts w:ascii="Arial" w:eastAsia="Times New Roman" w:hAnsi="Arial" w:cs="Arial"/>
                <w:b/>
                <w:bCs/>
                <w:color w:val="000000"/>
                <w:sz w:val="20"/>
                <w:szCs w:val="20"/>
                <w:lang w:val="en-GB" w:eastAsia="en-GB"/>
              </w:rPr>
              <w:t>Wheelchair Transfer #</w:t>
            </w:r>
          </w:p>
        </w:tc>
        <w:tc>
          <w:tcPr>
            <w:tcW w:w="2484" w:type="dxa"/>
            <w:tcBorders>
              <w:top w:val="single" w:sz="4" w:space="0" w:color="757171"/>
              <w:left w:val="single" w:sz="4" w:space="0" w:color="FFFFFF"/>
              <w:bottom w:val="single" w:sz="4" w:space="0" w:color="757171"/>
              <w:right w:val="single" w:sz="4" w:space="0" w:color="757171"/>
            </w:tcBorders>
            <w:shd w:val="clear" w:color="000000" w:fill="FFFFFF"/>
            <w:vAlign w:val="bottom"/>
            <w:hideMark/>
          </w:tcPr>
          <w:p w14:paraId="68AC8111" w14:textId="77777777" w:rsidR="001B4493" w:rsidRPr="001B4493" w:rsidRDefault="001B4493" w:rsidP="001B4493">
            <w:pPr>
              <w:spacing w:after="0" w:line="240" w:lineRule="auto"/>
              <w:jc w:val="center"/>
              <w:rPr>
                <w:rFonts w:ascii="Arial" w:eastAsia="Times New Roman" w:hAnsi="Arial" w:cs="Arial"/>
                <w:b/>
                <w:bCs/>
                <w:color w:val="000000"/>
                <w:sz w:val="20"/>
                <w:szCs w:val="20"/>
                <w:lang w:val="en-GB" w:eastAsia="en-GB"/>
              </w:rPr>
            </w:pPr>
            <w:r w:rsidRPr="001B4493">
              <w:rPr>
                <w:rFonts w:ascii="Arial" w:eastAsia="Times New Roman" w:hAnsi="Arial" w:cs="Arial"/>
                <w:b/>
                <w:bCs/>
                <w:color w:val="000000"/>
                <w:sz w:val="20"/>
                <w:szCs w:val="20"/>
                <w:lang w:val="en-GB" w:eastAsia="en-GB"/>
              </w:rPr>
              <w:t>Wheelchair Transfer %</w:t>
            </w:r>
          </w:p>
        </w:tc>
      </w:tr>
      <w:tr w:rsidR="001B4493" w:rsidRPr="001B4493" w14:paraId="68268D43" w14:textId="77777777" w:rsidTr="0032041F">
        <w:trPr>
          <w:trHeight w:val="255"/>
          <w:jc w:val="center"/>
        </w:trPr>
        <w:tc>
          <w:tcPr>
            <w:tcW w:w="1383" w:type="dxa"/>
            <w:tcBorders>
              <w:top w:val="single" w:sz="4" w:space="0" w:color="FFFFFF"/>
              <w:left w:val="single" w:sz="4" w:space="0" w:color="FFFFFF"/>
              <w:bottom w:val="single" w:sz="4" w:space="0" w:color="FFFFFF"/>
              <w:right w:val="single" w:sz="4" w:space="0" w:color="FFFFFF"/>
            </w:tcBorders>
            <w:shd w:val="clear" w:color="000000" w:fill="99BD66"/>
            <w:noWrap/>
            <w:vAlign w:val="bottom"/>
            <w:hideMark/>
          </w:tcPr>
          <w:p w14:paraId="043DEDB2" w14:textId="77777777" w:rsidR="001B4493" w:rsidRPr="001B4493" w:rsidRDefault="001B4493" w:rsidP="001B4493">
            <w:pPr>
              <w:spacing w:after="0" w:line="240" w:lineRule="auto"/>
              <w:jc w:val="center"/>
              <w:rPr>
                <w:rFonts w:ascii="Arial" w:eastAsia="Times New Roman" w:hAnsi="Arial" w:cs="Arial"/>
                <w:b/>
                <w:bCs/>
                <w:color w:val="000000"/>
                <w:sz w:val="20"/>
                <w:szCs w:val="20"/>
                <w:lang w:val="en-GB" w:eastAsia="en-GB"/>
              </w:rPr>
            </w:pPr>
            <w:r w:rsidRPr="001B4493">
              <w:rPr>
                <w:rFonts w:ascii="Arial" w:eastAsia="Times New Roman" w:hAnsi="Arial" w:cs="Arial"/>
                <w:b/>
                <w:bCs/>
                <w:color w:val="000000"/>
                <w:sz w:val="20"/>
                <w:szCs w:val="20"/>
                <w:lang w:val="en-GB" w:eastAsia="en-GB"/>
              </w:rPr>
              <w:t>Yes</w:t>
            </w:r>
          </w:p>
        </w:tc>
        <w:tc>
          <w:tcPr>
            <w:tcW w:w="2417" w:type="dxa"/>
            <w:tcBorders>
              <w:top w:val="single" w:sz="4" w:space="0" w:color="FFFFFF"/>
              <w:left w:val="nil"/>
              <w:bottom w:val="single" w:sz="4" w:space="0" w:color="FFFFFF"/>
              <w:right w:val="single" w:sz="4" w:space="0" w:color="FFFFFF"/>
            </w:tcBorders>
            <w:shd w:val="clear" w:color="000000" w:fill="FFFFFF"/>
            <w:noWrap/>
            <w:vAlign w:val="bottom"/>
            <w:hideMark/>
          </w:tcPr>
          <w:p w14:paraId="56D479BD" w14:textId="77777777" w:rsidR="001B4493" w:rsidRPr="001B4493" w:rsidRDefault="001B4493" w:rsidP="001B4493">
            <w:pPr>
              <w:spacing w:after="0" w:line="240" w:lineRule="auto"/>
              <w:jc w:val="center"/>
              <w:rPr>
                <w:rFonts w:ascii="Arial" w:eastAsia="Times New Roman" w:hAnsi="Arial" w:cs="Arial"/>
                <w:color w:val="757171"/>
                <w:sz w:val="20"/>
                <w:szCs w:val="20"/>
                <w:lang w:val="en-GB" w:eastAsia="en-GB"/>
              </w:rPr>
            </w:pPr>
            <w:r w:rsidRPr="001B4493">
              <w:rPr>
                <w:rFonts w:ascii="Arial" w:eastAsia="Times New Roman" w:hAnsi="Arial" w:cs="Arial"/>
                <w:color w:val="757171"/>
                <w:sz w:val="20"/>
                <w:szCs w:val="20"/>
                <w:lang w:val="en-GB" w:eastAsia="en-GB"/>
              </w:rPr>
              <w:t>9</w:t>
            </w:r>
          </w:p>
        </w:tc>
        <w:tc>
          <w:tcPr>
            <w:tcW w:w="2484" w:type="dxa"/>
            <w:tcBorders>
              <w:top w:val="single" w:sz="4" w:space="0" w:color="FFFFFF"/>
              <w:left w:val="nil"/>
              <w:bottom w:val="single" w:sz="4" w:space="0" w:color="FFFFFF"/>
              <w:right w:val="single" w:sz="4" w:space="0" w:color="FFFFFF"/>
            </w:tcBorders>
            <w:shd w:val="clear" w:color="000000" w:fill="FFFFFF"/>
            <w:noWrap/>
            <w:vAlign w:val="bottom"/>
            <w:hideMark/>
          </w:tcPr>
          <w:p w14:paraId="304F2AB7" w14:textId="77777777" w:rsidR="001B4493" w:rsidRPr="001B4493" w:rsidRDefault="001B4493" w:rsidP="001B4493">
            <w:pPr>
              <w:spacing w:after="0" w:line="240" w:lineRule="auto"/>
              <w:jc w:val="center"/>
              <w:rPr>
                <w:rFonts w:ascii="Arial" w:eastAsia="Times New Roman" w:hAnsi="Arial" w:cs="Arial"/>
                <w:color w:val="757171"/>
                <w:sz w:val="20"/>
                <w:szCs w:val="20"/>
                <w:lang w:val="en-GB" w:eastAsia="en-GB"/>
              </w:rPr>
            </w:pPr>
            <w:r w:rsidRPr="001B4493">
              <w:rPr>
                <w:rFonts w:ascii="Arial" w:eastAsia="Times New Roman" w:hAnsi="Arial" w:cs="Arial"/>
                <w:color w:val="757171"/>
                <w:sz w:val="20"/>
                <w:szCs w:val="20"/>
                <w:lang w:val="en-GB" w:eastAsia="en-GB"/>
              </w:rPr>
              <w:t>3%</w:t>
            </w:r>
          </w:p>
        </w:tc>
      </w:tr>
      <w:tr w:rsidR="001B4493" w:rsidRPr="001B4493" w14:paraId="415A1DFF" w14:textId="77777777" w:rsidTr="0032041F">
        <w:trPr>
          <w:trHeight w:val="255"/>
          <w:jc w:val="center"/>
        </w:trPr>
        <w:tc>
          <w:tcPr>
            <w:tcW w:w="1383" w:type="dxa"/>
            <w:tcBorders>
              <w:top w:val="single" w:sz="4" w:space="0" w:color="FFFFFF"/>
              <w:left w:val="single" w:sz="4" w:space="0" w:color="FFFFFF"/>
              <w:bottom w:val="single" w:sz="4" w:space="0" w:color="FFFFFF"/>
              <w:right w:val="single" w:sz="4" w:space="0" w:color="FFFFFF"/>
            </w:tcBorders>
            <w:shd w:val="clear" w:color="000000" w:fill="FF7D67"/>
            <w:noWrap/>
            <w:vAlign w:val="bottom"/>
            <w:hideMark/>
          </w:tcPr>
          <w:p w14:paraId="2A063AED" w14:textId="77777777" w:rsidR="001B4493" w:rsidRPr="001B4493" w:rsidRDefault="001B4493" w:rsidP="001B4493">
            <w:pPr>
              <w:spacing w:after="0" w:line="240" w:lineRule="auto"/>
              <w:jc w:val="center"/>
              <w:rPr>
                <w:rFonts w:ascii="Arial" w:eastAsia="Times New Roman" w:hAnsi="Arial" w:cs="Arial"/>
                <w:b/>
                <w:bCs/>
                <w:color w:val="000000"/>
                <w:sz w:val="20"/>
                <w:szCs w:val="20"/>
                <w:lang w:val="en-GB" w:eastAsia="en-GB"/>
              </w:rPr>
            </w:pPr>
            <w:r w:rsidRPr="001B4493">
              <w:rPr>
                <w:rFonts w:ascii="Arial" w:eastAsia="Times New Roman" w:hAnsi="Arial" w:cs="Arial"/>
                <w:b/>
                <w:bCs/>
                <w:color w:val="000000"/>
                <w:sz w:val="20"/>
                <w:szCs w:val="20"/>
                <w:lang w:val="en-GB" w:eastAsia="en-GB"/>
              </w:rPr>
              <w:t>No</w:t>
            </w:r>
          </w:p>
        </w:tc>
        <w:tc>
          <w:tcPr>
            <w:tcW w:w="2417" w:type="dxa"/>
            <w:tcBorders>
              <w:top w:val="nil"/>
              <w:left w:val="nil"/>
              <w:bottom w:val="single" w:sz="4" w:space="0" w:color="FFFFFF"/>
              <w:right w:val="single" w:sz="4" w:space="0" w:color="FFFFFF"/>
            </w:tcBorders>
            <w:shd w:val="clear" w:color="000000" w:fill="FFFFFF"/>
            <w:noWrap/>
            <w:vAlign w:val="bottom"/>
            <w:hideMark/>
          </w:tcPr>
          <w:p w14:paraId="4C0F6C0A" w14:textId="77777777" w:rsidR="001B4493" w:rsidRPr="001B4493" w:rsidRDefault="001B4493" w:rsidP="001B4493">
            <w:pPr>
              <w:spacing w:after="0" w:line="240" w:lineRule="auto"/>
              <w:jc w:val="center"/>
              <w:rPr>
                <w:rFonts w:ascii="Arial" w:eastAsia="Times New Roman" w:hAnsi="Arial" w:cs="Arial"/>
                <w:color w:val="757171"/>
                <w:sz w:val="20"/>
                <w:szCs w:val="20"/>
                <w:lang w:val="en-GB" w:eastAsia="en-GB"/>
              </w:rPr>
            </w:pPr>
            <w:r w:rsidRPr="001B4493">
              <w:rPr>
                <w:rFonts w:ascii="Arial" w:eastAsia="Times New Roman" w:hAnsi="Arial" w:cs="Arial"/>
                <w:color w:val="757171"/>
                <w:sz w:val="20"/>
                <w:szCs w:val="20"/>
                <w:lang w:val="en-GB" w:eastAsia="en-GB"/>
              </w:rPr>
              <w:t>331</w:t>
            </w:r>
          </w:p>
        </w:tc>
        <w:tc>
          <w:tcPr>
            <w:tcW w:w="2484" w:type="dxa"/>
            <w:tcBorders>
              <w:top w:val="nil"/>
              <w:left w:val="nil"/>
              <w:bottom w:val="single" w:sz="4" w:space="0" w:color="FFFFFF"/>
              <w:right w:val="single" w:sz="4" w:space="0" w:color="FFFFFF"/>
            </w:tcBorders>
            <w:shd w:val="clear" w:color="000000" w:fill="FFFFFF"/>
            <w:noWrap/>
            <w:vAlign w:val="bottom"/>
            <w:hideMark/>
          </w:tcPr>
          <w:p w14:paraId="06B0A297" w14:textId="77777777" w:rsidR="001B4493" w:rsidRPr="001B4493" w:rsidRDefault="001B4493" w:rsidP="001B4493">
            <w:pPr>
              <w:spacing w:after="0" w:line="240" w:lineRule="auto"/>
              <w:jc w:val="center"/>
              <w:rPr>
                <w:rFonts w:ascii="Arial" w:eastAsia="Times New Roman" w:hAnsi="Arial" w:cs="Arial"/>
                <w:color w:val="757171"/>
                <w:sz w:val="20"/>
                <w:szCs w:val="20"/>
                <w:lang w:val="en-GB" w:eastAsia="en-GB"/>
              </w:rPr>
            </w:pPr>
            <w:r w:rsidRPr="001B4493">
              <w:rPr>
                <w:rFonts w:ascii="Arial" w:eastAsia="Times New Roman" w:hAnsi="Arial" w:cs="Arial"/>
                <w:color w:val="757171"/>
                <w:sz w:val="20"/>
                <w:szCs w:val="20"/>
                <w:lang w:val="en-GB" w:eastAsia="en-GB"/>
              </w:rPr>
              <w:t>97%</w:t>
            </w:r>
          </w:p>
        </w:tc>
      </w:tr>
      <w:tr w:rsidR="001B4493" w:rsidRPr="001B4493" w14:paraId="0BC0EEA8" w14:textId="77777777" w:rsidTr="0032041F">
        <w:trPr>
          <w:trHeight w:val="255"/>
          <w:jc w:val="center"/>
        </w:trPr>
        <w:tc>
          <w:tcPr>
            <w:tcW w:w="1383" w:type="dxa"/>
            <w:tcBorders>
              <w:top w:val="single" w:sz="4" w:space="0" w:color="757171"/>
              <w:left w:val="single" w:sz="4" w:space="0" w:color="757171"/>
              <w:bottom w:val="single" w:sz="4" w:space="0" w:color="757171"/>
              <w:right w:val="single" w:sz="4" w:space="0" w:color="757171"/>
            </w:tcBorders>
            <w:shd w:val="clear" w:color="FFFFFF" w:fill="F2F2F2"/>
            <w:noWrap/>
            <w:vAlign w:val="bottom"/>
            <w:hideMark/>
          </w:tcPr>
          <w:p w14:paraId="393DA0BF" w14:textId="77777777" w:rsidR="001B4493" w:rsidRPr="001B4493" w:rsidRDefault="001B4493" w:rsidP="001B4493">
            <w:pPr>
              <w:spacing w:after="0" w:line="240" w:lineRule="auto"/>
              <w:jc w:val="center"/>
              <w:rPr>
                <w:rFonts w:ascii="Arial" w:eastAsia="Times New Roman" w:hAnsi="Arial" w:cs="Arial"/>
                <w:b/>
                <w:bCs/>
                <w:color w:val="000000"/>
                <w:sz w:val="20"/>
                <w:szCs w:val="20"/>
                <w:lang w:val="en-GB" w:eastAsia="en-GB"/>
              </w:rPr>
            </w:pPr>
            <w:r w:rsidRPr="001B4493">
              <w:rPr>
                <w:rFonts w:ascii="Arial" w:eastAsia="Times New Roman" w:hAnsi="Arial" w:cs="Arial"/>
                <w:b/>
                <w:bCs/>
                <w:color w:val="000000"/>
                <w:sz w:val="20"/>
                <w:szCs w:val="20"/>
                <w:lang w:val="en-GB" w:eastAsia="en-GB"/>
              </w:rPr>
              <w:t>Total</w:t>
            </w:r>
          </w:p>
        </w:tc>
        <w:tc>
          <w:tcPr>
            <w:tcW w:w="2417" w:type="dxa"/>
            <w:tcBorders>
              <w:top w:val="single" w:sz="4" w:space="0" w:color="757171"/>
              <w:left w:val="single" w:sz="4" w:space="0" w:color="FFFFFF"/>
              <w:bottom w:val="single" w:sz="4" w:space="0" w:color="757171"/>
              <w:right w:val="single" w:sz="4" w:space="0" w:color="FFFFFF"/>
            </w:tcBorders>
            <w:shd w:val="clear" w:color="000000" w:fill="FFFFFF"/>
            <w:noWrap/>
            <w:vAlign w:val="bottom"/>
            <w:hideMark/>
          </w:tcPr>
          <w:p w14:paraId="0C4C8273" w14:textId="77777777" w:rsidR="001B4493" w:rsidRPr="001B4493" w:rsidRDefault="001B4493" w:rsidP="001B4493">
            <w:pPr>
              <w:spacing w:after="0" w:line="240" w:lineRule="auto"/>
              <w:jc w:val="center"/>
              <w:rPr>
                <w:rFonts w:ascii="Arial" w:eastAsia="Times New Roman" w:hAnsi="Arial" w:cs="Arial"/>
                <w:b/>
                <w:bCs/>
                <w:color w:val="000000"/>
                <w:sz w:val="20"/>
                <w:szCs w:val="20"/>
                <w:lang w:val="en-GB" w:eastAsia="en-GB"/>
              </w:rPr>
            </w:pPr>
            <w:r w:rsidRPr="001B4493">
              <w:rPr>
                <w:rFonts w:ascii="Arial" w:eastAsia="Times New Roman" w:hAnsi="Arial" w:cs="Arial"/>
                <w:b/>
                <w:bCs/>
                <w:color w:val="000000"/>
                <w:sz w:val="20"/>
                <w:szCs w:val="20"/>
                <w:lang w:val="en-GB" w:eastAsia="en-GB"/>
              </w:rPr>
              <w:t>340</w:t>
            </w:r>
          </w:p>
        </w:tc>
        <w:tc>
          <w:tcPr>
            <w:tcW w:w="2484" w:type="dxa"/>
            <w:tcBorders>
              <w:top w:val="single" w:sz="4" w:space="0" w:color="757171"/>
              <w:left w:val="single" w:sz="4" w:space="0" w:color="FFFFFF"/>
              <w:bottom w:val="single" w:sz="4" w:space="0" w:color="757171"/>
              <w:right w:val="single" w:sz="4" w:space="0" w:color="757171"/>
            </w:tcBorders>
            <w:shd w:val="clear" w:color="000000" w:fill="FFFFFF"/>
            <w:noWrap/>
            <w:vAlign w:val="bottom"/>
            <w:hideMark/>
          </w:tcPr>
          <w:p w14:paraId="6E353F0E" w14:textId="77777777" w:rsidR="001B4493" w:rsidRPr="001B4493" w:rsidRDefault="001B4493" w:rsidP="001B4493">
            <w:pPr>
              <w:spacing w:after="0" w:line="240" w:lineRule="auto"/>
              <w:jc w:val="center"/>
              <w:rPr>
                <w:rFonts w:ascii="Arial" w:eastAsia="Times New Roman" w:hAnsi="Arial" w:cs="Arial"/>
                <w:b/>
                <w:bCs/>
                <w:color w:val="000000"/>
                <w:sz w:val="20"/>
                <w:szCs w:val="20"/>
                <w:lang w:val="en-GB" w:eastAsia="en-GB"/>
              </w:rPr>
            </w:pPr>
            <w:r w:rsidRPr="001B4493">
              <w:rPr>
                <w:rFonts w:ascii="Arial" w:eastAsia="Times New Roman" w:hAnsi="Arial" w:cs="Arial"/>
                <w:b/>
                <w:bCs/>
                <w:color w:val="000000"/>
                <w:sz w:val="20"/>
                <w:szCs w:val="20"/>
                <w:lang w:val="en-GB" w:eastAsia="en-GB"/>
              </w:rPr>
              <w:t>100%</w:t>
            </w:r>
          </w:p>
        </w:tc>
      </w:tr>
    </w:tbl>
    <w:p w14:paraId="6A0CAD33" w14:textId="63C711AB" w:rsidR="001B4493" w:rsidRDefault="001B4493" w:rsidP="001B4493">
      <w:pPr>
        <w:pStyle w:val="Caption"/>
      </w:pPr>
      <w:bookmarkStart w:id="109" w:name="_Toc512556870"/>
      <w:r>
        <w:t xml:space="preserve">Table </w:t>
      </w:r>
      <w:r>
        <w:fldChar w:fldCharType="begin"/>
      </w:r>
      <w:r>
        <w:instrText xml:space="preserve"> SEQ Table \* ARABIC </w:instrText>
      </w:r>
      <w:r>
        <w:fldChar w:fldCharType="separate"/>
      </w:r>
      <w:r w:rsidR="0099156B">
        <w:rPr>
          <w:noProof/>
        </w:rPr>
        <w:t>13</w:t>
      </w:r>
      <w:r>
        <w:fldChar w:fldCharType="end"/>
      </w:r>
      <w:r>
        <w:t xml:space="preserve"> – Authorities that produced lists of vehicles that can accommodate wheelchair users who transfer into a seat</w:t>
      </w:r>
      <w:bookmarkEnd w:id="109"/>
    </w:p>
    <w:p w14:paraId="2F1487F6" w14:textId="77777777" w:rsidR="000823FF" w:rsidRDefault="000823FF" w:rsidP="001B4493"/>
    <w:p w14:paraId="67E48395" w14:textId="5D1FFC07" w:rsidR="001B4493" w:rsidRDefault="001B4493" w:rsidP="001B4493">
      <w:r>
        <w:t>Very few authorities indeed have produced these lists (3%).</w:t>
      </w:r>
    </w:p>
    <w:p w14:paraId="6FA3FE44" w14:textId="4F7184CE" w:rsidR="001B4493" w:rsidRDefault="001B4493" w:rsidP="001B4493">
      <w:r>
        <w:t xml:space="preserve">It became apparent that the predominant reason for this is that authorities are confused as to what this list would include and what purpose it would serve (as am I.) </w:t>
      </w:r>
      <w:r w:rsidR="0032041F">
        <w:t>Some a</w:t>
      </w:r>
      <w:r w:rsidR="00711321">
        <w:t xml:space="preserve">uthorities pointed out that all vehicles can accommodate a wheelchair user who can transfer into a seat, provided their wheelchair is capable of being folded and put into the boot. </w:t>
      </w:r>
    </w:p>
    <w:p w14:paraId="54D10890" w14:textId="5039E304" w:rsidR="00711321" w:rsidRDefault="00711321" w:rsidP="00711321">
      <w:pPr>
        <w:pStyle w:val="Heading2"/>
      </w:pPr>
      <w:bookmarkStart w:id="110" w:name="_Toc512556907"/>
      <w:r>
        <w:lastRenderedPageBreak/>
        <w:t>Exemptions under S166</w:t>
      </w:r>
      <w:bookmarkEnd w:id="110"/>
    </w:p>
    <w:p w14:paraId="57C6E964" w14:textId="77777777" w:rsidR="009966EF" w:rsidRPr="009966EF" w:rsidRDefault="009966EF" w:rsidP="009966EF"/>
    <w:tbl>
      <w:tblPr>
        <w:tblW w:w="2860" w:type="dxa"/>
        <w:jc w:val="center"/>
        <w:tblLook w:val="04A0" w:firstRow="1" w:lastRow="0" w:firstColumn="1" w:lastColumn="0" w:noHBand="0" w:noVBand="1"/>
      </w:tblPr>
      <w:tblGrid>
        <w:gridCol w:w="1480"/>
        <w:gridCol w:w="1380"/>
      </w:tblGrid>
      <w:tr w:rsidR="00711321" w:rsidRPr="00711321" w14:paraId="11302D87" w14:textId="77777777" w:rsidTr="009966EF">
        <w:trPr>
          <w:trHeight w:val="525"/>
          <w:jc w:val="center"/>
        </w:trPr>
        <w:tc>
          <w:tcPr>
            <w:tcW w:w="1480" w:type="dxa"/>
            <w:tcBorders>
              <w:top w:val="single" w:sz="4" w:space="0" w:color="757171"/>
              <w:left w:val="single" w:sz="4" w:space="0" w:color="757171"/>
              <w:bottom w:val="single" w:sz="4" w:space="0" w:color="757171"/>
              <w:right w:val="single" w:sz="4" w:space="0" w:color="FFFFFF"/>
            </w:tcBorders>
            <w:shd w:val="clear" w:color="000000" w:fill="FFFFFF"/>
            <w:vAlign w:val="bottom"/>
            <w:hideMark/>
          </w:tcPr>
          <w:p w14:paraId="2D6D7F6E" w14:textId="77777777" w:rsidR="00711321" w:rsidRPr="00711321" w:rsidRDefault="00711321" w:rsidP="00711321">
            <w:pPr>
              <w:spacing w:after="0" w:line="240" w:lineRule="auto"/>
              <w:jc w:val="center"/>
              <w:rPr>
                <w:rFonts w:ascii="Arial" w:eastAsia="Times New Roman" w:hAnsi="Arial" w:cs="Arial"/>
                <w:b/>
                <w:bCs/>
                <w:color w:val="000000"/>
                <w:sz w:val="20"/>
                <w:szCs w:val="20"/>
                <w:lang w:val="en-GB" w:eastAsia="en-GB"/>
              </w:rPr>
            </w:pPr>
            <w:r w:rsidRPr="00711321">
              <w:rPr>
                <w:rFonts w:ascii="Arial" w:eastAsia="Times New Roman" w:hAnsi="Arial" w:cs="Arial"/>
                <w:b/>
                <w:bCs/>
                <w:color w:val="000000"/>
                <w:sz w:val="20"/>
                <w:szCs w:val="20"/>
                <w:lang w:val="en-GB" w:eastAsia="en-GB"/>
              </w:rPr>
              <w:t>Authorities</w:t>
            </w:r>
          </w:p>
        </w:tc>
        <w:tc>
          <w:tcPr>
            <w:tcW w:w="1380" w:type="dxa"/>
            <w:tcBorders>
              <w:top w:val="single" w:sz="4" w:space="0" w:color="757171"/>
              <w:left w:val="nil"/>
              <w:bottom w:val="single" w:sz="4" w:space="0" w:color="757171"/>
              <w:right w:val="single" w:sz="4" w:space="0" w:color="757171"/>
            </w:tcBorders>
            <w:shd w:val="clear" w:color="FFFFCC" w:fill="FFFFFF"/>
            <w:vAlign w:val="bottom"/>
            <w:hideMark/>
          </w:tcPr>
          <w:p w14:paraId="5CBE7234" w14:textId="77777777" w:rsidR="00711321" w:rsidRPr="00711321" w:rsidRDefault="00711321" w:rsidP="00711321">
            <w:pPr>
              <w:spacing w:after="0" w:line="240" w:lineRule="auto"/>
              <w:jc w:val="left"/>
              <w:rPr>
                <w:rFonts w:ascii="Arial" w:eastAsia="Times New Roman" w:hAnsi="Arial" w:cs="Arial"/>
                <w:b/>
                <w:bCs/>
                <w:color w:val="000000"/>
                <w:sz w:val="20"/>
                <w:szCs w:val="20"/>
                <w:lang w:val="en-GB" w:eastAsia="en-GB"/>
              </w:rPr>
            </w:pPr>
            <w:r w:rsidRPr="00711321">
              <w:rPr>
                <w:rFonts w:ascii="Arial" w:eastAsia="Times New Roman" w:hAnsi="Arial" w:cs="Arial"/>
                <w:b/>
                <w:bCs/>
                <w:color w:val="000000"/>
                <w:sz w:val="20"/>
                <w:szCs w:val="20"/>
                <w:lang w:val="en-GB" w:eastAsia="en-GB"/>
              </w:rPr>
              <w:t>∆ S166 Exemptions</w:t>
            </w:r>
          </w:p>
        </w:tc>
      </w:tr>
      <w:tr w:rsidR="00711321" w:rsidRPr="00711321" w14:paraId="6B456097" w14:textId="77777777" w:rsidTr="009966EF">
        <w:trPr>
          <w:trHeight w:val="255"/>
          <w:jc w:val="center"/>
        </w:trPr>
        <w:tc>
          <w:tcPr>
            <w:tcW w:w="1480" w:type="dxa"/>
            <w:tcBorders>
              <w:top w:val="single" w:sz="4" w:space="0" w:color="FFFFFF"/>
              <w:left w:val="single" w:sz="4" w:space="0" w:color="FFFFFF"/>
              <w:bottom w:val="single" w:sz="4" w:space="0" w:color="FFFFFF"/>
              <w:right w:val="single" w:sz="4" w:space="0" w:color="FFFFFF"/>
            </w:tcBorders>
            <w:shd w:val="clear" w:color="000000" w:fill="99BD66"/>
            <w:vAlign w:val="bottom"/>
            <w:hideMark/>
          </w:tcPr>
          <w:p w14:paraId="004F5875" w14:textId="77777777" w:rsidR="00711321" w:rsidRPr="00711321" w:rsidRDefault="00711321" w:rsidP="00711321">
            <w:pPr>
              <w:spacing w:after="0" w:line="240" w:lineRule="auto"/>
              <w:jc w:val="center"/>
              <w:rPr>
                <w:rFonts w:ascii="Arial" w:eastAsia="Times New Roman" w:hAnsi="Arial" w:cs="Arial"/>
                <w:b/>
                <w:bCs/>
                <w:color w:val="000000"/>
                <w:sz w:val="20"/>
                <w:szCs w:val="20"/>
                <w:lang w:val="en-GB" w:eastAsia="en-GB"/>
              </w:rPr>
            </w:pPr>
            <w:r w:rsidRPr="00711321">
              <w:rPr>
                <w:rFonts w:ascii="Arial" w:eastAsia="Times New Roman" w:hAnsi="Arial" w:cs="Arial"/>
                <w:b/>
                <w:bCs/>
                <w:color w:val="000000"/>
                <w:sz w:val="20"/>
                <w:szCs w:val="20"/>
                <w:lang w:val="en-GB" w:eastAsia="en-GB"/>
              </w:rPr>
              <w:t>Decreased</w:t>
            </w:r>
          </w:p>
        </w:tc>
        <w:tc>
          <w:tcPr>
            <w:tcW w:w="1380" w:type="dxa"/>
            <w:tcBorders>
              <w:top w:val="single" w:sz="4" w:space="0" w:color="FFFFFF"/>
              <w:left w:val="nil"/>
              <w:bottom w:val="single" w:sz="4" w:space="0" w:color="FFFFFF"/>
              <w:right w:val="nil"/>
            </w:tcBorders>
            <w:shd w:val="clear" w:color="000000" w:fill="FFFFFF"/>
            <w:vAlign w:val="bottom"/>
            <w:hideMark/>
          </w:tcPr>
          <w:p w14:paraId="7F012DC2" w14:textId="77777777" w:rsidR="00711321" w:rsidRPr="00711321" w:rsidRDefault="00711321" w:rsidP="00711321">
            <w:pPr>
              <w:spacing w:after="0" w:line="240" w:lineRule="auto"/>
              <w:jc w:val="center"/>
              <w:rPr>
                <w:rFonts w:ascii="Arial" w:eastAsia="Times New Roman" w:hAnsi="Arial" w:cs="Arial"/>
                <w:b/>
                <w:bCs/>
                <w:color w:val="757171"/>
                <w:sz w:val="20"/>
                <w:szCs w:val="20"/>
                <w:lang w:val="en-GB" w:eastAsia="en-GB"/>
              </w:rPr>
            </w:pPr>
            <w:r w:rsidRPr="00711321">
              <w:rPr>
                <w:rFonts w:ascii="Arial" w:eastAsia="Times New Roman" w:hAnsi="Arial" w:cs="Arial"/>
                <w:b/>
                <w:bCs/>
                <w:color w:val="757171"/>
                <w:sz w:val="20"/>
                <w:szCs w:val="20"/>
                <w:lang w:val="en-GB" w:eastAsia="en-GB"/>
              </w:rPr>
              <w:t>16</w:t>
            </w:r>
          </w:p>
        </w:tc>
      </w:tr>
      <w:tr w:rsidR="00711321" w:rsidRPr="00711321" w14:paraId="4E0C9CC2" w14:textId="77777777" w:rsidTr="009966EF">
        <w:trPr>
          <w:trHeight w:val="255"/>
          <w:jc w:val="center"/>
        </w:trPr>
        <w:tc>
          <w:tcPr>
            <w:tcW w:w="1480" w:type="dxa"/>
            <w:tcBorders>
              <w:top w:val="single" w:sz="4" w:space="0" w:color="FFFFFF"/>
              <w:left w:val="single" w:sz="4" w:space="0" w:color="FFFFFF"/>
              <w:bottom w:val="single" w:sz="4" w:space="0" w:color="FFFFFF"/>
              <w:right w:val="single" w:sz="4" w:space="0" w:color="FFFFFF"/>
            </w:tcBorders>
            <w:shd w:val="clear" w:color="000000" w:fill="FFFFFF"/>
            <w:vAlign w:val="bottom"/>
            <w:hideMark/>
          </w:tcPr>
          <w:p w14:paraId="5F97657C" w14:textId="77777777" w:rsidR="00711321" w:rsidRPr="00711321" w:rsidRDefault="00711321" w:rsidP="00711321">
            <w:pPr>
              <w:spacing w:after="0" w:line="240" w:lineRule="auto"/>
              <w:jc w:val="center"/>
              <w:rPr>
                <w:rFonts w:ascii="Arial" w:eastAsia="Times New Roman" w:hAnsi="Arial" w:cs="Arial"/>
                <w:b/>
                <w:bCs/>
                <w:color w:val="000000"/>
                <w:sz w:val="20"/>
                <w:szCs w:val="20"/>
                <w:lang w:val="en-GB" w:eastAsia="en-GB"/>
              </w:rPr>
            </w:pPr>
            <w:r w:rsidRPr="00711321">
              <w:rPr>
                <w:rFonts w:ascii="Arial" w:eastAsia="Times New Roman" w:hAnsi="Arial" w:cs="Arial"/>
                <w:b/>
                <w:bCs/>
                <w:color w:val="000000"/>
                <w:sz w:val="20"/>
                <w:szCs w:val="20"/>
                <w:lang w:val="en-GB" w:eastAsia="en-GB"/>
              </w:rPr>
              <w:t>Unchanged</w:t>
            </w:r>
          </w:p>
        </w:tc>
        <w:tc>
          <w:tcPr>
            <w:tcW w:w="1380" w:type="dxa"/>
            <w:tcBorders>
              <w:top w:val="single" w:sz="4" w:space="0" w:color="FFFFFF"/>
              <w:left w:val="nil"/>
              <w:bottom w:val="single" w:sz="4" w:space="0" w:color="FFFFFF"/>
              <w:right w:val="nil"/>
            </w:tcBorders>
            <w:shd w:val="clear" w:color="000000" w:fill="FFFFFF"/>
            <w:vAlign w:val="bottom"/>
            <w:hideMark/>
          </w:tcPr>
          <w:p w14:paraId="4E1D1DCA" w14:textId="77777777" w:rsidR="00711321" w:rsidRPr="00711321" w:rsidRDefault="00711321" w:rsidP="00711321">
            <w:pPr>
              <w:spacing w:after="0" w:line="240" w:lineRule="auto"/>
              <w:jc w:val="center"/>
              <w:rPr>
                <w:rFonts w:ascii="Arial" w:eastAsia="Times New Roman" w:hAnsi="Arial" w:cs="Arial"/>
                <w:b/>
                <w:bCs/>
                <w:color w:val="757171"/>
                <w:sz w:val="20"/>
                <w:szCs w:val="20"/>
                <w:lang w:val="en-GB" w:eastAsia="en-GB"/>
              </w:rPr>
            </w:pPr>
            <w:r w:rsidRPr="00711321">
              <w:rPr>
                <w:rFonts w:ascii="Arial" w:eastAsia="Times New Roman" w:hAnsi="Arial" w:cs="Arial"/>
                <w:b/>
                <w:bCs/>
                <w:color w:val="757171"/>
                <w:sz w:val="20"/>
                <w:szCs w:val="20"/>
                <w:lang w:val="en-GB" w:eastAsia="en-GB"/>
              </w:rPr>
              <w:t>276</w:t>
            </w:r>
          </w:p>
        </w:tc>
      </w:tr>
      <w:tr w:rsidR="00711321" w:rsidRPr="00711321" w14:paraId="1A381DB1" w14:textId="77777777" w:rsidTr="009966EF">
        <w:trPr>
          <w:trHeight w:val="255"/>
          <w:jc w:val="center"/>
        </w:trPr>
        <w:tc>
          <w:tcPr>
            <w:tcW w:w="1480" w:type="dxa"/>
            <w:tcBorders>
              <w:top w:val="single" w:sz="4" w:space="0" w:color="FFFFFF"/>
              <w:left w:val="single" w:sz="4" w:space="0" w:color="FFFFFF"/>
              <w:bottom w:val="single" w:sz="4" w:space="0" w:color="FFFFFF"/>
              <w:right w:val="single" w:sz="4" w:space="0" w:color="FFFFFF"/>
            </w:tcBorders>
            <w:shd w:val="clear" w:color="000000" w:fill="FF7D67"/>
            <w:noWrap/>
            <w:vAlign w:val="bottom"/>
            <w:hideMark/>
          </w:tcPr>
          <w:p w14:paraId="54E6982A" w14:textId="77777777" w:rsidR="00711321" w:rsidRPr="00711321" w:rsidRDefault="00711321" w:rsidP="00711321">
            <w:pPr>
              <w:spacing w:after="0" w:line="240" w:lineRule="auto"/>
              <w:jc w:val="center"/>
              <w:rPr>
                <w:rFonts w:ascii="Arial" w:eastAsia="Times New Roman" w:hAnsi="Arial" w:cs="Arial"/>
                <w:b/>
                <w:bCs/>
                <w:color w:val="000000"/>
                <w:sz w:val="20"/>
                <w:szCs w:val="20"/>
                <w:lang w:val="en-GB" w:eastAsia="en-GB"/>
              </w:rPr>
            </w:pPr>
            <w:r w:rsidRPr="00711321">
              <w:rPr>
                <w:rFonts w:ascii="Arial" w:eastAsia="Times New Roman" w:hAnsi="Arial" w:cs="Arial"/>
                <w:b/>
                <w:bCs/>
                <w:color w:val="000000"/>
                <w:sz w:val="20"/>
                <w:szCs w:val="20"/>
                <w:lang w:val="en-GB" w:eastAsia="en-GB"/>
              </w:rPr>
              <w:t>Increased</w:t>
            </w:r>
          </w:p>
        </w:tc>
        <w:tc>
          <w:tcPr>
            <w:tcW w:w="1380" w:type="dxa"/>
            <w:tcBorders>
              <w:top w:val="single" w:sz="4" w:space="0" w:color="FFFFFF"/>
              <w:left w:val="nil"/>
              <w:bottom w:val="single" w:sz="4" w:space="0" w:color="FFFFFF"/>
              <w:right w:val="nil"/>
            </w:tcBorders>
            <w:shd w:val="clear" w:color="000000" w:fill="FFFFFF"/>
            <w:noWrap/>
            <w:vAlign w:val="bottom"/>
            <w:hideMark/>
          </w:tcPr>
          <w:p w14:paraId="2D686D5C" w14:textId="77777777" w:rsidR="00711321" w:rsidRPr="00711321" w:rsidRDefault="00711321" w:rsidP="00711321">
            <w:pPr>
              <w:spacing w:after="0" w:line="240" w:lineRule="auto"/>
              <w:jc w:val="center"/>
              <w:rPr>
                <w:rFonts w:ascii="Arial" w:eastAsia="Times New Roman" w:hAnsi="Arial" w:cs="Arial"/>
                <w:b/>
                <w:bCs/>
                <w:color w:val="757171"/>
                <w:sz w:val="20"/>
                <w:szCs w:val="20"/>
                <w:lang w:val="en-GB" w:eastAsia="en-GB"/>
              </w:rPr>
            </w:pPr>
            <w:r w:rsidRPr="00711321">
              <w:rPr>
                <w:rFonts w:ascii="Arial" w:eastAsia="Times New Roman" w:hAnsi="Arial" w:cs="Arial"/>
                <w:b/>
                <w:bCs/>
                <w:color w:val="757171"/>
                <w:sz w:val="20"/>
                <w:szCs w:val="20"/>
                <w:lang w:val="en-GB" w:eastAsia="en-GB"/>
              </w:rPr>
              <w:t>47</w:t>
            </w:r>
          </w:p>
        </w:tc>
      </w:tr>
      <w:tr w:rsidR="00711321" w:rsidRPr="00711321" w14:paraId="55F3EE41" w14:textId="77777777" w:rsidTr="009966EF">
        <w:trPr>
          <w:trHeight w:val="255"/>
          <w:jc w:val="center"/>
        </w:trPr>
        <w:tc>
          <w:tcPr>
            <w:tcW w:w="1480" w:type="dxa"/>
            <w:tcBorders>
              <w:top w:val="single" w:sz="4" w:space="0" w:color="757171"/>
              <w:left w:val="single" w:sz="4" w:space="0" w:color="757171"/>
              <w:bottom w:val="single" w:sz="4" w:space="0" w:color="757171"/>
              <w:right w:val="single" w:sz="4" w:space="0" w:color="FFFFFF"/>
            </w:tcBorders>
            <w:shd w:val="clear" w:color="FFFFFF" w:fill="F2F2F2"/>
            <w:noWrap/>
            <w:vAlign w:val="bottom"/>
            <w:hideMark/>
          </w:tcPr>
          <w:p w14:paraId="75D7DCC6" w14:textId="77777777" w:rsidR="00711321" w:rsidRPr="00711321" w:rsidRDefault="00711321" w:rsidP="00711321">
            <w:pPr>
              <w:spacing w:after="0" w:line="240" w:lineRule="auto"/>
              <w:jc w:val="center"/>
              <w:rPr>
                <w:rFonts w:ascii="Arial" w:eastAsia="Times New Roman" w:hAnsi="Arial" w:cs="Arial"/>
                <w:b/>
                <w:bCs/>
                <w:color w:val="000000"/>
                <w:sz w:val="20"/>
                <w:szCs w:val="20"/>
                <w:lang w:val="en-GB" w:eastAsia="en-GB"/>
              </w:rPr>
            </w:pPr>
            <w:r w:rsidRPr="00711321">
              <w:rPr>
                <w:rFonts w:ascii="Arial" w:eastAsia="Times New Roman" w:hAnsi="Arial" w:cs="Arial"/>
                <w:b/>
                <w:bCs/>
                <w:color w:val="000000"/>
                <w:sz w:val="20"/>
                <w:szCs w:val="20"/>
                <w:lang w:val="en-GB" w:eastAsia="en-GB"/>
              </w:rPr>
              <w:t>Total</w:t>
            </w:r>
          </w:p>
        </w:tc>
        <w:tc>
          <w:tcPr>
            <w:tcW w:w="1380" w:type="dxa"/>
            <w:tcBorders>
              <w:top w:val="single" w:sz="4" w:space="0" w:color="757171"/>
              <w:left w:val="nil"/>
              <w:bottom w:val="single" w:sz="4" w:space="0" w:color="auto"/>
              <w:right w:val="single" w:sz="4" w:space="0" w:color="auto"/>
            </w:tcBorders>
            <w:shd w:val="clear" w:color="FFFFFF" w:fill="F2F2F2"/>
            <w:noWrap/>
            <w:vAlign w:val="bottom"/>
            <w:hideMark/>
          </w:tcPr>
          <w:p w14:paraId="753D9116" w14:textId="77777777" w:rsidR="00711321" w:rsidRPr="00711321" w:rsidRDefault="00711321" w:rsidP="00711321">
            <w:pPr>
              <w:spacing w:after="0" w:line="240" w:lineRule="auto"/>
              <w:jc w:val="center"/>
              <w:rPr>
                <w:rFonts w:ascii="Arial" w:eastAsia="Times New Roman" w:hAnsi="Arial" w:cs="Arial"/>
                <w:b/>
                <w:bCs/>
                <w:color w:val="000000"/>
                <w:sz w:val="20"/>
                <w:szCs w:val="20"/>
                <w:lang w:val="en-GB" w:eastAsia="en-GB"/>
              </w:rPr>
            </w:pPr>
            <w:r w:rsidRPr="00711321">
              <w:rPr>
                <w:rFonts w:ascii="Arial" w:eastAsia="Times New Roman" w:hAnsi="Arial" w:cs="Arial"/>
                <w:b/>
                <w:bCs/>
                <w:color w:val="000000"/>
                <w:sz w:val="20"/>
                <w:szCs w:val="20"/>
                <w:lang w:val="en-GB" w:eastAsia="en-GB"/>
              </w:rPr>
              <w:t>339</w:t>
            </w:r>
          </w:p>
        </w:tc>
      </w:tr>
    </w:tbl>
    <w:p w14:paraId="282B3F3A" w14:textId="649B508B" w:rsidR="00711321" w:rsidRDefault="00711321" w:rsidP="00711321">
      <w:pPr>
        <w:pStyle w:val="Caption"/>
      </w:pPr>
      <w:bookmarkStart w:id="111" w:name="_Toc512556871"/>
      <w:r>
        <w:t xml:space="preserve">Table </w:t>
      </w:r>
      <w:r>
        <w:fldChar w:fldCharType="begin"/>
      </w:r>
      <w:r>
        <w:instrText xml:space="preserve"> SEQ Table \* ARABIC </w:instrText>
      </w:r>
      <w:r>
        <w:fldChar w:fldCharType="separate"/>
      </w:r>
      <w:r w:rsidR="0099156B">
        <w:rPr>
          <w:noProof/>
        </w:rPr>
        <w:t>14</w:t>
      </w:r>
      <w:r>
        <w:fldChar w:fldCharType="end"/>
      </w:r>
      <w:r>
        <w:t xml:space="preserve"> – Changes in Numbers of S166 Exemptions</w:t>
      </w:r>
      <w:r w:rsidR="000573F2">
        <w:t xml:space="preserve"> between April and November 2017</w:t>
      </w:r>
      <w:bookmarkEnd w:id="111"/>
    </w:p>
    <w:p w14:paraId="35A9D655" w14:textId="77777777" w:rsidR="000823FF" w:rsidRDefault="000823FF" w:rsidP="00711321"/>
    <w:p w14:paraId="5202D97C" w14:textId="41B0C607" w:rsidR="00711321" w:rsidRDefault="00711321" w:rsidP="00711321">
      <w:r>
        <w:t>Whilst some authorities have had an increased number of applications for medical exemption from the duties to assist wheelchair users since the legislation was introduced, most are unchanged and some have reduced the number of such exemptions.</w:t>
      </w:r>
    </w:p>
    <w:p w14:paraId="7353FF83" w14:textId="4892CD00" w:rsidR="00711321" w:rsidRDefault="00711321" w:rsidP="00711321">
      <w:r>
        <w:t xml:space="preserve">266 authorities still have no such exemptions. All but </w:t>
      </w:r>
      <w:r w:rsidR="00CE1149">
        <w:t>16 authorities have 10 or less of such exemptions in place.</w:t>
      </w:r>
    </w:p>
    <w:p w14:paraId="256D4A30" w14:textId="177616A6" w:rsidR="0032041F" w:rsidRDefault="00CE1149" w:rsidP="00711321">
      <w:r>
        <w:t>The notable outlier is Edinburgh, which has 363 such exemptions in place</w:t>
      </w:r>
      <w:r>
        <w:rPr>
          <w:rStyle w:val="EndnoteReference"/>
        </w:rPr>
        <w:endnoteReference w:id="7"/>
      </w:r>
      <w:r>
        <w:t xml:space="preserve"> </w:t>
      </w:r>
      <w:r w:rsidR="000573F2">
        <w:t>–</w:t>
      </w:r>
      <w:r>
        <w:t xml:space="preserve"> this is more than </w:t>
      </w:r>
      <w:r w:rsidR="0032041F">
        <w:t xml:space="preserve">four </w:t>
      </w:r>
      <w:r w:rsidR="009966EF">
        <w:t>times</w:t>
      </w:r>
      <w:r>
        <w:t xml:space="preserve"> as many as the council with the next highest number of exemptions (Rushmoor, with 75) and represented an increase of 100 such exemptions since April 2017. </w:t>
      </w:r>
    </w:p>
    <w:p w14:paraId="4E7E697D" w14:textId="0794DF63" w:rsidR="00CE1149" w:rsidRDefault="00CE1149" w:rsidP="00711321">
      <w:r>
        <w:t xml:space="preserve">Plymouth </w:t>
      </w:r>
      <w:r w:rsidR="0032041F">
        <w:t xml:space="preserve">also </w:t>
      </w:r>
      <w:r>
        <w:t>had a significant increase in the number of exemptions, from 4 in April 2017 to 65 in October 2017. Notably, Plymouth implemented a S167 list as soon as the legislation was commenced.</w:t>
      </w:r>
    </w:p>
    <w:p w14:paraId="0A6101B8" w14:textId="75C71FFC" w:rsidR="000C66CB" w:rsidRDefault="00CE1149" w:rsidP="00711321">
      <w:pPr>
        <w:sectPr w:rsidR="000C66CB" w:rsidSect="0080636E">
          <w:footnotePr>
            <w:pos w:val="beneathText"/>
          </w:footnotePr>
          <w:pgSz w:w="11907" w:h="16840" w:code="9"/>
          <w:pgMar w:top="1440" w:right="1440" w:bottom="1440" w:left="1440" w:header="709" w:footer="645" w:gutter="0"/>
          <w:cols w:space="720"/>
          <w:noEndnote/>
          <w:titlePg/>
          <w:docGrid w:linePitch="360"/>
        </w:sectPr>
      </w:pPr>
      <w:r>
        <w:t xml:space="preserve">Blackpool and Milton Keynes experienced a significant decrease in the number of exemptions, reducing such by 29 and 17 respectively. Both councils implemented their S167 list </w:t>
      </w:r>
      <w:r w:rsidR="009966EF">
        <w:t xml:space="preserve">between April and </w:t>
      </w:r>
      <w:r>
        <w:t xml:space="preserve">October 2018. </w:t>
      </w:r>
    </w:p>
    <w:p w14:paraId="7BF207E0" w14:textId="1AB5C6B9" w:rsidR="001E7270" w:rsidRDefault="001759E3" w:rsidP="001759E3">
      <w:pPr>
        <w:pStyle w:val="Heading2"/>
      </w:pPr>
      <w:bookmarkStart w:id="112" w:name="_Toc512556908"/>
      <w:r>
        <w:lastRenderedPageBreak/>
        <w:t>Changes in Provision of Wheelchair Accessible Vehicles</w:t>
      </w:r>
      <w:bookmarkEnd w:id="112"/>
    </w:p>
    <w:bookmarkEnd w:id="90"/>
    <w:bookmarkEnd w:id="91"/>
    <w:p w14:paraId="520DF824" w14:textId="77777777" w:rsidR="003A1B51" w:rsidRDefault="00245347" w:rsidP="003A1B51">
      <w:pPr>
        <w:keepNext/>
        <w:jc w:val="center"/>
      </w:pPr>
      <w:r>
        <w:rPr>
          <w:noProof/>
        </w:rPr>
        <w:drawing>
          <wp:inline distT="0" distB="0" distL="0" distR="0" wp14:anchorId="106C924B" wp14:editId="3AB51D75">
            <wp:extent cx="6400800" cy="9063926"/>
            <wp:effectExtent l="114300" t="114300" r="209550" b="213995"/>
            <wp:docPr id="31" name="Picture 18">
              <a:extLst xmlns:a="http://schemas.openxmlformats.org/drawingml/2006/main">
                <a:ext uri="{FF2B5EF4-FFF2-40B4-BE49-F238E27FC236}">
                  <a16:creationId xmlns:a16="http://schemas.microsoft.com/office/drawing/2014/main" id="{EB2A822C-76FD-4970-B4D6-8A1875B857A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a:extLst>
                        <a:ext uri="{FF2B5EF4-FFF2-40B4-BE49-F238E27FC236}">
                          <a16:creationId xmlns:a16="http://schemas.microsoft.com/office/drawing/2014/main" id="{EB2A822C-76FD-4970-B4D6-8A1875B857A4}"/>
                        </a:ext>
                      </a:extLst>
                    </pic:cNvPr>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6404219" cy="9068767"/>
                    </a:xfrm>
                    <a:prstGeom prst="rect">
                      <a:avLst/>
                    </a:prstGeom>
                    <a:ln w="88900" cap="sq" cmpd="thickThin">
                      <a:solidFill>
                        <a:srgbClr val="000000"/>
                      </a:solidFill>
                      <a:prstDash val="solid"/>
                      <a:miter lim="800000"/>
                    </a:ln>
                    <a:effectLst>
                      <a:outerShdw blurRad="50800" dist="63500" dir="2700000" algn="tl" rotWithShape="0">
                        <a:prstClr val="black">
                          <a:alpha val="40000"/>
                        </a:prstClr>
                      </a:outerShdw>
                    </a:effectLst>
                  </pic:spPr>
                </pic:pic>
              </a:graphicData>
            </a:graphic>
          </wp:inline>
        </w:drawing>
      </w:r>
    </w:p>
    <w:p w14:paraId="60F67840" w14:textId="272A349B" w:rsidR="00245347" w:rsidRDefault="003A1B51" w:rsidP="00335219">
      <w:pPr>
        <w:pStyle w:val="Caption"/>
      </w:pPr>
      <w:bookmarkStart w:id="113" w:name="_Toc512556846"/>
      <w:r>
        <w:t xml:space="preserve">Map  </w:t>
      </w:r>
      <w:r>
        <w:fldChar w:fldCharType="begin"/>
      </w:r>
      <w:r>
        <w:instrText xml:space="preserve"> SEQ Map_ \* ARABIC </w:instrText>
      </w:r>
      <w:r>
        <w:fldChar w:fldCharType="separate"/>
      </w:r>
      <w:r w:rsidR="0099156B">
        <w:rPr>
          <w:noProof/>
        </w:rPr>
        <w:t>3</w:t>
      </w:r>
      <w:r>
        <w:fldChar w:fldCharType="end"/>
      </w:r>
      <w:r>
        <w:t xml:space="preserve"> – </w:t>
      </w:r>
      <w:r w:rsidR="001759E3">
        <w:t>Changes in Accessible Taxi Numbers between 2015 and 2017</w:t>
      </w:r>
      <w:bookmarkEnd w:id="113"/>
    </w:p>
    <w:p w14:paraId="58E63214" w14:textId="77777777" w:rsidR="003A1B51" w:rsidRDefault="00FE2BCC" w:rsidP="003A1B51">
      <w:pPr>
        <w:keepNext/>
        <w:spacing w:after="0" w:line="240" w:lineRule="auto"/>
        <w:jc w:val="center"/>
      </w:pPr>
      <w:r>
        <w:rPr>
          <w:noProof/>
        </w:rPr>
        <w:lastRenderedPageBreak/>
        <w:drawing>
          <wp:inline distT="0" distB="0" distL="0" distR="0" wp14:anchorId="7A2A6C65" wp14:editId="0B92CE1F">
            <wp:extent cx="6686045" cy="9467850"/>
            <wp:effectExtent l="114300" t="114300" r="210185" b="209550"/>
            <wp:docPr id="32" name="Picture 16">
              <a:extLst xmlns:a="http://schemas.openxmlformats.org/drawingml/2006/main">
                <a:ext uri="{FF2B5EF4-FFF2-40B4-BE49-F238E27FC236}">
                  <a16:creationId xmlns:a16="http://schemas.microsoft.com/office/drawing/2014/main" id="{C560AB72-46C0-4750-9579-A65253F1E5B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a:extLst>
                        <a:ext uri="{FF2B5EF4-FFF2-40B4-BE49-F238E27FC236}">
                          <a16:creationId xmlns:a16="http://schemas.microsoft.com/office/drawing/2014/main" id="{C560AB72-46C0-4750-9579-A65253F1E5BD}"/>
                        </a:ext>
                      </a:extLst>
                    </pic:cNvPr>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6699039" cy="9486251"/>
                    </a:xfrm>
                    <a:prstGeom prst="rect">
                      <a:avLst/>
                    </a:prstGeom>
                    <a:ln w="88900" cap="sq" cmpd="thickThin">
                      <a:solidFill>
                        <a:srgbClr val="000000"/>
                      </a:solidFill>
                      <a:prstDash val="solid"/>
                      <a:miter lim="800000"/>
                    </a:ln>
                    <a:effectLst>
                      <a:outerShdw blurRad="50800" dist="63500" dir="2700000" algn="tl" rotWithShape="0">
                        <a:prstClr val="black">
                          <a:alpha val="40000"/>
                        </a:prstClr>
                      </a:outerShdw>
                    </a:effectLst>
                  </pic:spPr>
                </pic:pic>
              </a:graphicData>
            </a:graphic>
          </wp:inline>
        </w:drawing>
      </w:r>
    </w:p>
    <w:p w14:paraId="744A0205" w14:textId="7C6F1ACA" w:rsidR="00690424" w:rsidRDefault="003A1B51" w:rsidP="00690424">
      <w:pPr>
        <w:pStyle w:val="Caption"/>
        <w:sectPr w:rsidR="00690424" w:rsidSect="000C66CB">
          <w:footnotePr>
            <w:pos w:val="beneathText"/>
          </w:footnotePr>
          <w:pgSz w:w="11907" w:h="16840" w:code="9"/>
          <w:pgMar w:top="567" w:right="425" w:bottom="567" w:left="425" w:header="142" w:footer="0" w:gutter="0"/>
          <w:cols w:space="720"/>
          <w:noEndnote/>
          <w:titlePg/>
          <w:docGrid w:linePitch="360"/>
        </w:sectPr>
      </w:pPr>
      <w:bookmarkStart w:id="114" w:name="_Toc512556847"/>
      <w:r>
        <w:t xml:space="preserve">Map  </w:t>
      </w:r>
      <w:r>
        <w:fldChar w:fldCharType="begin"/>
      </w:r>
      <w:r>
        <w:instrText xml:space="preserve"> SEQ Map_ \* ARABIC </w:instrText>
      </w:r>
      <w:r>
        <w:fldChar w:fldCharType="separate"/>
      </w:r>
      <w:r w:rsidR="0099156B">
        <w:rPr>
          <w:noProof/>
        </w:rPr>
        <w:t>4</w:t>
      </w:r>
      <w:r>
        <w:fldChar w:fldCharType="end"/>
      </w:r>
      <w:r>
        <w:t xml:space="preserve"> – </w:t>
      </w:r>
      <w:r w:rsidR="001759E3">
        <w:t>Change in Accessible Taxis per 1,000 population between 201</w:t>
      </w:r>
      <w:r w:rsidR="00690424">
        <w:t>5</w:t>
      </w:r>
      <w:r w:rsidR="001759E3">
        <w:t xml:space="preserve"> and 2017</w:t>
      </w:r>
      <w:bookmarkEnd w:id="114"/>
    </w:p>
    <w:p w14:paraId="6A701D2B" w14:textId="7C8E25B8" w:rsidR="00245347" w:rsidRDefault="00245347" w:rsidP="00690424">
      <w:pPr>
        <w:pStyle w:val="Caption"/>
        <w:sectPr w:rsidR="00245347" w:rsidSect="00690424">
          <w:footnotePr>
            <w:pos w:val="beneathText"/>
          </w:footnotePr>
          <w:type w:val="continuous"/>
          <w:pgSz w:w="11907" w:h="16840" w:code="9"/>
          <w:pgMar w:top="567" w:right="425" w:bottom="567" w:left="425" w:header="142" w:footer="0" w:gutter="0"/>
          <w:cols w:space="720"/>
          <w:noEndnote/>
          <w:titlePg/>
          <w:docGrid w:linePitch="360"/>
        </w:sectPr>
      </w:pPr>
    </w:p>
    <w:tbl>
      <w:tblPr>
        <w:tblW w:w="6232" w:type="dxa"/>
        <w:jc w:val="center"/>
        <w:tblLook w:val="04A0" w:firstRow="1" w:lastRow="0" w:firstColumn="1" w:lastColumn="0" w:noHBand="0" w:noVBand="1"/>
      </w:tblPr>
      <w:tblGrid>
        <w:gridCol w:w="1150"/>
        <w:gridCol w:w="1272"/>
        <w:gridCol w:w="1272"/>
        <w:gridCol w:w="1263"/>
        <w:gridCol w:w="1275"/>
      </w:tblGrid>
      <w:tr w:rsidR="00F151EA" w:rsidRPr="001759E3" w14:paraId="034E3ED0" w14:textId="77777777" w:rsidTr="0032041F">
        <w:trPr>
          <w:trHeight w:val="780"/>
          <w:jc w:val="center"/>
        </w:trPr>
        <w:tc>
          <w:tcPr>
            <w:tcW w:w="1150" w:type="dxa"/>
            <w:tcBorders>
              <w:top w:val="single" w:sz="4" w:space="0" w:color="757171"/>
              <w:left w:val="single" w:sz="4" w:space="0" w:color="757171"/>
              <w:bottom w:val="single" w:sz="4" w:space="0" w:color="000000"/>
              <w:right w:val="single" w:sz="4" w:space="0" w:color="757171"/>
            </w:tcBorders>
            <w:shd w:val="clear" w:color="FFFFCC" w:fill="FFFFFF"/>
            <w:noWrap/>
            <w:vAlign w:val="bottom"/>
            <w:hideMark/>
          </w:tcPr>
          <w:p w14:paraId="2D12C403" w14:textId="77777777" w:rsidR="001759E3" w:rsidRPr="001759E3" w:rsidRDefault="001759E3" w:rsidP="001759E3">
            <w:pPr>
              <w:spacing w:after="0" w:line="240" w:lineRule="auto"/>
              <w:jc w:val="center"/>
              <w:rPr>
                <w:rFonts w:ascii="Arial" w:eastAsia="Times New Roman" w:hAnsi="Arial" w:cs="Arial"/>
                <w:b/>
                <w:bCs/>
                <w:color w:val="000000"/>
                <w:sz w:val="20"/>
                <w:szCs w:val="20"/>
                <w:lang w:val="en-GB" w:eastAsia="en-GB"/>
              </w:rPr>
            </w:pPr>
            <w:bookmarkStart w:id="115" w:name="_Toc488088775"/>
            <w:bookmarkStart w:id="116" w:name="_Toc488093163"/>
            <w:r w:rsidRPr="001759E3">
              <w:rPr>
                <w:rFonts w:ascii="Arial" w:eastAsia="Times New Roman" w:hAnsi="Arial" w:cs="Arial"/>
                <w:b/>
                <w:bCs/>
                <w:color w:val="000000"/>
                <w:sz w:val="20"/>
                <w:szCs w:val="20"/>
                <w:lang w:val="en-GB" w:eastAsia="en-GB"/>
              </w:rPr>
              <w:lastRenderedPageBreak/>
              <w:t>Country</w:t>
            </w:r>
          </w:p>
        </w:tc>
        <w:tc>
          <w:tcPr>
            <w:tcW w:w="1272" w:type="dxa"/>
            <w:tcBorders>
              <w:top w:val="single" w:sz="4" w:space="0" w:color="757171"/>
              <w:left w:val="single" w:sz="4" w:space="0" w:color="FFFFFF"/>
              <w:bottom w:val="single" w:sz="4" w:space="0" w:color="000000"/>
              <w:right w:val="single" w:sz="4" w:space="0" w:color="FFFFFF"/>
            </w:tcBorders>
            <w:shd w:val="clear" w:color="FFFFCC" w:fill="FFFFFF"/>
            <w:noWrap/>
            <w:vAlign w:val="bottom"/>
            <w:hideMark/>
          </w:tcPr>
          <w:p w14:paraId="43F68354" w14:textId="77777777" w:rsidR="001759E3" w:rsidRPr="001759E3" w:rsidRDefault="001759E3" w:rsidP="001759E3">
            <w:pPr>
              <w:spacing w:after="0" w:line="240" w:lineRule="auto"/>
              <w:jc w:val="center"/>
              <w:rPr>
                <w:rFonts w:ascii="Arial" w:eastAsia="Times New Roman" w:hAnsi="Arial" w:cs="Arial"/>
                <w:b/>
                <w:bCs/>
                <w:color w:val="000000"/>
                <w:sz w:val="20"/>
                <w:szCs w:val="20"/>
                <w:lang w:val="en-GB" w:eastAsia="en-GB"/>
              </w:rPr>
            </w:pPr>
            <w:r w:rsidRPr="001759E3">
              <w:rPr>
                <w:rFonts w:ascii="Arial" w:eastAsia="Times New Roman" w:hAnsi="Arial" w:cs="Arial"/>
                <w:b/>
                <w:bCs/>
                <w:color w:val="000000"/>
                <w:sz w:val="20"/>
                <w:szCs w:val="20"/>
                <w:lang w:val="en-GB" w:eastAsia="en-GB"/>
              </w:rPr>
              <w:t>WAV #</w:t>
            </w:r>
          </w:p>
        </w:tc>
        <w:tc>
          <w:tcPr>
            <w:tcW w:w="1272" w:type="dxa"/>
            <w:tcBorders>
              <w:top w:val="single" w:sz="4" w:space="0" w:color="757171"/>
              <w:left w:val="single" w:sz="4" w:space="0" w:color="FFFFFF"/>
              <w:bottom w:val="single" w:sz="4" w:space="0" w:color="000000"/>
              <w:right w:val="single" w:sz="4" w:space="0" w:color="FFFFFF"/>
            </w:tcBorders>
            <w:shd w:val="clear" w:color="FFFFCC" w:fill="FFFFFF"/>
            <w:vAlign w:val="bottom"/>
            <w:hideMark/>
          </w:tcPr>
          <w:p w14:paraId="6318F7FE" w14:textId="77777777" w:rsidR="001759E3" w:rsidRPr="001759E3" w:rsidRDefault="001759E3" w:rsidP="001759E3">
            <w:pPr>
              <w:spacing w:after="0" w:line="240" w:lineRule="auto"/>
              <w:jc w:val="center"/>
              <w:rPr>
                <w:rFonts w:ascii="Arial" w:eastAsia="Times New Roman" w:hAnsi="Arial" w:cs="Arial"/>
                <w:b/>
                <w:bCs/>
                <w:color w:val="000000"/>
                <w:sz w:val="20"/>
                <w:szCs w:val="20"/>
                <w:lang w:val="en-GB" w:eastAsia="en-GB"/>
              </w:rPr>
            </w:pPr>
            <w:r w:rsidRPr="001759E3">
              <w:rPr>
                <w:rFonts w:ascii="Arial" w:eastAsia="Times New Roman" w:hAnsi="Arial" w:cs="Arial"/>
                <w:b/>
                <w:bCs/>
                <w:color w:val="000000"/>
                <w:sz w:val="20"/>
                <w:szCs w:val="20"/>
                <w:lang w:val="en-GB" w:eastAsia="en-GB"/>
              </w:rPr>
              <w:t>WAV % of All Taxis</w:t>
            </w:r>
          </w:p>
        </w:tc>
        <w:tc>
          <w:tcPr>
            <w:tcW w:w="1263" w:type="dxa"/>
            <w:tcBorders>
              <w:top w:val="single" w:sz="4" w:space="0" w:color="757171"/>
              <w:left w:val="single" w:sz="4" w:space="0" w:color="FFFFFF"/>
              <w:bottom w:val="single" w:sz="4" w:space="0" w:color="000000"/>
              <w:right w:val="single" w:sz="4" w:space="0" w:color="FFFFFF"/>
            </w:tcBorders>
            <w:shd w:val="clear" w:color="FFFFCC" w:fill="FFFFFF"/>
            <w:vAlign w:val="bottom"/>
            <w:hideMark/>
          </w:tcPr>
          <w:p w14:paraId="4FEEBA3E" w14:textId="77777777" w:rsidR="001759E3" w:rsidRPr="001759E3" w:rsidRDefault="001759E3" w:rsidP="001759E3">
            <w:pPr>
              <w:spacing w:after="0" w:line="240" w:lineRule="auto"/>
              <w:jc w:val="center"/>
              <w:rPr>
                <w:rFonts w:ascii="Arial" w:eastAsia="Times New Roman" w:hAnsi="Arial" w:cs="Arial"/>
                <w:b/>
                <w:bCs/>
                <w:color w:val="000000"/>
                <w:sz w:val="20"/>
                <w:szCs w:val="20"/>
                <w:lang w:val="en-GB" w:eastAsia="en-GB"/>
              </w:rPr>
            </w:pPr>
            <w:r w:rsidRPr="001759E3">
              <w:rPr>
                <w:rFonts w:ascii="Arial" w:eastAsia="Times New Roman" w:hAnsi="Arial" w:cs="Arial"/>
                <w:b/>
                <w:bCs/>
                <w:color w:val="000000"/>
                <w:sz w:val="20"/>
                <w:szCs w:val="20"/>
                <w:lang w:val="en-GB" w:eastAsia="en-GB"/>
              </w:rPr>
              <w:t>WAV Change since 2015</w:t>
            </w:r>
          </w:p>
        </w:tc>
        <w:tc>
          <w:tcPr>
            <w:tcW w:w="1275" w:type="dxa"/>
            <w:tcBorders>
              <w:top w:val="single" w:sz="4" w:space="0" w:color="757171"/>
              <w:left w:val="single" w:sz="4" w:space="0" w:color="FFFFFF"/>
              <w:bottom w:val="single" w:sz="4" w:space="0" w:color="000000"/>
              <w:right w:val="single" w:sz="4" w:space="0" w:color="2C2C2C" w:themeColor="text1"/>
            </w:tcBorders>
            <w:shd w:val="clear" w:color="FFFFCC" w:fill="FFFFFF"/>
            <w:vAlign w:val="bottom"/>
            <w:hideMark/>
          </w:tcPr>
          <w:p w14:paraId="146BB6BD" w14:textId="77777777" w:rsidR="001759E3" w:rsidRPr="001759E3" w:rsidRDefault="001759E3" w:rsidP="001759E3">
            <w:pPr>
              <w:spacing w:after="0" w:line="240" w:lineRule="auto"/>
              <w:jc w:val="center"/>
              <w:rPr>
                <w:rFonts w:ascii="Arial" w:eastAsia="Times New Roman" w:hAnsi="Arial" w:cs="Arial"/>
                <w:b/>
                <w:bCs/>
                <w:color w:val="000000"/>
                <w:sz w:val="20"/>
                <w:szCs w:val="20"/>
                <w:lang w:val="en-GB" w:eastAsia="en-GB"/>
              </w:rPr>
            </w:pPr>
            <w:r w:rsidRPr="001759E3">
              <w:rPr>
                <w:rFonts w:ascii="Arial" w:eastAsia="Times New Roman" w:hAnsi="Arial" w:cs="Arial"/>
                <w:b/>
                <w:bCs/>
                <w:color w:val="000000"/>
                <w:sz w:val="20"/>
                <w:szCs w:val="20"/>
                <w:bdr w:val="single" w:sz="4" w:space="0" w:color="CACACA" w:themeColor="text1" w:themeTint="40"/>
                <w:lang w:val="en-GB" w:eastAsia="en-GB"/>
              </w:rPr>
              <w:t>Change in %</w:t>
            </w:r>
            <w:r w:rsidRPr="001759E3">
              <w:rPr>
                <w:rFonts w:ascii="Arial" w:eastAsia="Times New Roman" w:hAnsi="Arial" w:cs="Arial"/>
                <w:b/>
                <w:bCs/>
                <w:color w:val="000000"/>
                <w:sz w:val="20"/>
                <w:szCs w:val="20"/>
                <w:lang w:val="en-GB" w:eastAsia="en-GB"/>
              </w:rPr>
              <w:t xml:space="preserve"> since 2015</w:t>
            </w:r>
          </w:p>
        </w:tc>
      </w:tr>
      <w:tr w:rsidR="001759E3" w:rsidRPr="001759E3" w14:paraId="436524A4" w14:textId="77777777" w:rsidTr="0032041F">
        <w:trPr>
          <w:trHeight w:val="255"/>
          <w:jc w:val="center"/>
        </w:trPr>
        <w:tc>
          <w:tcPr>
            <w:tcW w:w="1150" w:type="dxa"/>
            <w:tcBorders>
              <w:top w:val="single" w:sz="4" w:space="0" w:color="000000"/>
              <w:left w:val="single" w:sz="4" w:space="0" w:color="FFFFFF"/>
              <w:bottom w:val="single" w:sz="4" w:space="0" w:color="E7E6E6"/>
              <w:right w:val="single" w:sz="4" w:space="0" w:color="FFFFFF"/>
            </w:tcBorders>
            <w:shd w:val="clear" w:color="FFFFCC" w:fill="FFFFFF"/>
            <w:vAlign w:val="center"/>
            <w:hideMark/>
          </w:tcPr>
          <w:p w14:paraId="6BCC7658" w14:textId="77777777" w:rsidR="001759E3" w:rsidRPr="001759E3" w:rsidRDefault="001759E3" w:rsidP="001759E3">
            <w:pPr>
              <w:spacing w:after="0" w:line="240" w:lineRule="auto"/>
              <w:jc w:val="center"/>
              <w:rPr>
                <w:rFonts w:ascii="Arial" w:eastAsia="Times New Roman" w:hAnsi="Arial" w:cs="Arial"/>
                <w:b/>
                <w:bCs/>
                <w:color w:val="000000"/>
                <w:sz w:val="20"/>
                <w:szCs w:val="20"/>
                <w:lang w:val="en-GB" w:eastAsia="en-GB"/>
              </w:rPr>
            </w:pPr>
            <w:r w:rsidRPr="001759E3">
              <w:rPr>
                <w:rFonts w:ascii="Arial" w:eastAsia="Times New Roman" w:hAnsi="Arial" w:cs="Arial"/>
                <w:b/>
                <w:bCs/>
                <w:color w:val="000000"/>
                <w:sz w:val="20"/>
                <w:szCs w:val="20"/>
                <w:lang w:val="en-GB" w:eastAsia="en-GB"/>
              </w:rPr>
              <w:t>England</w:t>
            </w:r>
          </w:p>
        </w:tc>
        <w:tc>
          <w:tcPr>
            <w:tcW w:w="1272" w:type="dxa"/>
            <w:tcBorders>
              <w:top w:val="single" w:sz="4" w:space="0" w:color="000000"/>
              <w:left w:val="single" w:sz="4" w:space="0" w:color="FFFFFF"/>
              <w:bottom w:val="single" w:sz="4" w:space="0" w:color="E7E6E6"/>
              <w:right w:val="single" w:sz="4" w:space="0" w:color="FFFFFF"/>
            </w:tcBorders>
            <w:shd w:val="clear" w:color="FFFFCC" w:fill="FFFFFF"/>
            <w:noWrap/>
            <w:vAlign w:val="center"/>
            <w:hideMark/>
          </w:tcPr>
          <w:p w14:paraId="1DE5046F" w14:textId="77777777" w:rsidR="001759E3" w:rsidRPr="001759E3" w:rsidRDefault="001759E3" w:rsidP="001759E3">
            <w:pPr>
              <w:spacing w:after="0" w:line="240" w:lineRule="auto"/>
              <w:jc w:val="center"/>
              <w:rPr>
                <w:rFonts w:ascii="Arial" w:eastAsia="Times New Roman" w:hAnsi="Arial" w:cs="Arial"/>
                <w:b/>
                <w:bCs/>
                <w:color w:val="757171"/>
                <w:sz w:val="20"/>
                <w:szCs w:val="20"/>
                <w:lang w:val="en-GB" w:eastAsia="en-GB"/>
              </w:rPr>
            </w:pPr>
            <w:r w:rsidRPr="001759E3">
              <w:rPr>
                <w:rFonts w:ascii="Arial" w:eastAsia="Times New Roman" w:hAnsi="Arial" w:cs="Arial"/>
                <w:b/>
                <w:bCs/>
                <w:color w:val="757171"/>
                <w:sz w:val="20"/>
                <w:szCs w:val="20"/>
                <w:lang w:val="en-GB" w:eastAsia="en-GB"/>
              </w:rPr>
              <w:t>43,531</w:t>
            </w:r>
          </w:p>
        </w:tc>
        <w:tc>
          <w:tcPr>
            <w:tcW w:w="1272" w:type="dxa"/>
            <w:tcBorders>
              <w:top w:val="single" w:sz="4" w:space="0" w:color="000000"/>
              <w:left w:val="single" w:sz="4" w:space="0" w:color="FFFFFF"/>
              <w:bottom w:val="single" w:sz="4" w:space="0" w:color="E7E6E6"/>
              <w:right w:val="single" w:sz="4" w:space="0" w:color="FFFFFF"/>
            </w:tcBorders>
            <w:shd w:val="clear" w:color="FFFFCC" w:fill="FFFFFF"/>
            <w:noWrap/>
            <w:vAlign w:val="center"/>
            <w:hideMark/>
          </w:tcPr>
          <w:p w14:paraId="75E7E778" w14:textId="77777777" w:rsidR="001759E3" w:rsidRPr="001759E3" w:rsidRDefault="001759E3" w:rsidP="001759E3">
            <w:pPr>
              <w:spacing w:after="0" w:line="240" w:lineRule="auto"/>
              <w:jc w:val="center"/>
              <w:rPr>
                <w:rFonts w:ascii="Arial" w:eastAsia="Times New Roman" w:hAnsi="Arial" w:cs="Arial"/>
                <w:b/>
                <w:bCs/>
                <w:color w:val="757171"/>
                <w:sz w:val="20"/>
                <w:szCs w:val="20"/>
                <w:lang w:val="en-GB" w:eastAsia="en-GB"/>
              </w:rPr>
            </w:pPr>
            <w:r w:rsidRPr="001759E3">
              <w:rPr>
                <w:rFonts w:ascii="Arial" w:eastAsia="Times New Roman" w:hAnsi="Arial" w:cs="Arial"/>
                <w:b/>
                <w:bCs/>
                <w:color w:val="757171"/>
                <w:sz w:val="20"/>
                <w:szCs w:val="20"/>
                <w:lang w:val="en-GB" w:eastAsia="en-GB"/>
              </w:rPr>
              <w:t>58%</w:t>
            </w:r>
          </w:p>
        </w:tc>
        <w:tc>
          <w:tcPr>
            <w:tcW w:w="1263" w:type="dxa"/>
            <w:tcBorders>
              <w:top w:val="single" w:sz="4" w:space="0" w:color="000000"/>
              <w:left w:val="single" w:sz="4" w:space="0" w:color="FFFFFF"/>
              <w:bottom w:val="single" w:sz="4" w:space="0" w:color="E7E6E6"/>
              <w:right w:val="single" w:sz="4" w:space="0" w:color="FFFFFF"/>
            </w:tcBorders>
            <w:shd w:val="clear" w:color="FFFFCC" w:fill="FFFFFF"/>
            <w:noWrap/>
            <w:vAlign w:val="center"/>
            <w:hideMark/>
          </w:tcPr>
          <w:p w14:paraId="5CA7DBEE" w14:textId="77777777" w:rsidR="001759E3" w:rsidRPr="001759E3" w:rsidRDefault="001759E3" w:rsidP="001759E3">
            <w:pPr>
              <w:spacing w:after="0" w:line="240" w:lineRule="auto"/>
              <w:jc w:val="center"/>
              <w:rPr>
                <w:rFonts w:ascii="Arial" w:eastAsia="Times New Roman" w:hAnsi="Arial" w:cs="Arial"/>
                <w:color w:val="C00000"/>
                <w:sz w:val="20"/>
                <w:szCs w:val="20"/>
                <w:lang w:val="en-GB" w:eastAsia="en-GB"/>
              </w:rPr>
            </w:pPr>
            <w:r w:rsidRPr="001759E3">
              <w:rPr>
                <w:rFonts w:ascii="Arial" w:eastAsia="Times New Roman" w:hAnsi="Arial" w:cs="Arial"/>
                <w:color w:val="C00000"/>
                <w:sz w:val="20"/>
                <w:szCs w:val="20"/>
                <w:lang w:val="en-GB" w:eastAsia="en-GB"/>
              </w:rPr>
              <w:t>-821</w:t>
            </w:r>
          </w:p>
        </w:tc>
        <w:tc>
          <w:tcPr>
            <w:tcW w:w="1275" w:type="dxa"/>
            <w:tcBorders>
              <w:top w:val="single" w:sz="4" w:space="0" w:color="000000"/>
              <w:left w:val="single" w:sz="4" w:space="0" w:color="FFFFFF"/>
              <w:bottom w:val="single" w:sz="4" w:space="0" w:color="E7E6E6"/>
              <w:right w:val="single" w:sz="4" w:space="0" w:color="FFFFFF"/>
            </w:tcBorders>
            <w:shd w:val="clear" w:color="FFFFCC" w:fill="FFFFFF"/>
            <w:noWrap/>
            <w:vAlign w:val="center"/>
            <w:hideMark/>
          </w:tcPr>
          <w:p w14:paraId="2EAD24AF" w14:textId="77777777" w:rsidR="001759E3" w:rsidRPr="001759E3" w:rsidRDefault="001759E3" w:rsidP="001759E3">
            <w:pPr>
              <w:spacing w:after="0" w:line="240" w:lineRule="auto"/>
              <w:jc w:val="center"/>
              <w:rPr>
                <w:rFonts w:ascii="Arial" w:eastAsia="Times New Roman" w:hAnsi="Arial" w:cs="Arial"/>
                <w:color w:val="C00000"/>
                <w:sz w:val="20"/>
                <w:szCs w:val="20"/>
                <w:lang w:val="en-GB" w:eastAsia="en-GB"/>
              </w:rPr>
            </w:pPr>
            <w:r w:rsidRPr="001759E3">
              <w:rPr>
                <w:rFonts w:ascii="Arial" w:eastAsia="Times New Roman" w:hAnsi="Arial" w:cs="Arial"/>
                <w:color w:val="C00000"/>
                <w:sz w:val="20"/>
                <w:szCs w:val="20"/>
                <w:lang w:val="en-GB" w:eastAsia="en-GB"/>
              </w:rPr>
              <w:t>-2%</w:t>
            </w:r>
          </w:p>
        </w:tc>
      </w:tr>
      <w:tr w:rsidR="001759E3" w:rsidRPr="001759E3" w14:paraId="0712A5ED" w14:textId="77777777" w:rsidTr="0032041F">
        <w:trPr>
          <w:trHeight w:val="765"/>
          <w:jc w:val="center"/>
        </w:trPr>
        <w:tc>
          <w:tcPr>
            <w:tcW w:w="1150" w:type="dxa"/>
            <w:tcBorders>
              <w:top w:val="single" w:sz="4" w:space="0" w:color="E7E6E6"/>
              <w:left w:val="single" w:sz="4" w:space="0" w:color="FFFFFF"/>
              <w:bottom w:val="single" w:sz="4" w:space="0" w:color="E7E6E6"/>
              <w:right w:val="single" w:sz="4" w:space="0" w:color="FFFFFF"/>
            </w:tcBorders>
            <w:shd w:val="clear" w:color="FFFFCC" w:fill="FFFFFF"/>
            <w:vAlign w:val="center"/>
            <w:hideMark/>
          </w:tcPr>
          <w:p w14:paraId="1A3B83F8" w14:textId="77777777" w:rsidR="001759E3" w:rsidRPr="001759E3" w:rsidRDefault="001759E3" w:rsidP="001759E3">
            <w:pPr>
              <w:spacing w:after="0" w:line="240" w:lineRule="auto"/>
              <w:jc w:val="center"/>
              <w:rPr>
                <w:rFonts w:ascii="Arial" w:eastAsia="Times New Roman" w:hAnsi="Arial" w:cs="Arial"/>
                <w:b/>
                <w:bCs/>
                <w:color w:val="000000"/>
                <w:sz w:val="20"/>
                <w:szCs w:val="20"/>
                <w:lang w:val="en-GB" w:eastAsia="en-GB"/>
              </w:rPr>
            </w:pPr>
            <w:r w:rsidRPr="001759E3">
              <w:rPr>
                <w:rFonts w:ascii="Arial" w:eastAsia="Times New Roman" w:hAnsi="Arial" w:cs="Arial"/>
                <w:b/>
                <w:bCs/>
                <w:color w:val="000000"/>
                <w:sz w:val="20"/>
                <w:szCs w:val="20"/>
                <w:lang w:val="en-GB" w:eastAsia="en-GB"/>
              </w:rPr>
              <w:t>England excluding London</w:t>
            </w:r>
          </w:p>
        </w:tc>
        <w:tc>
          <w:tcPr>
            <w:tcW w:w="1272" w:type="dxa"/>
            <w:tcBorders>
              <w:top w:val="single" w:sz="4" w:space="0" w:color="E7E6E6"/>
              <w:left w:val="single" w:sz="4" w:space="0" w:color="FFFFFF"/>
              <w:bottom w:val="single" w:sz="4" w:space="0" w:color="E7E6E6"/>
              <w:right w:val="single" w:sz="4" w:space="0" w:color="FFFFFF"/>
            </w:tcBorders>
            <w:shd w:val="clear" w:color="FFFFCC" w:fill="FFFFFF"/>
            <w:noWrap/>
            <w:vAlign w:val="center"/>
            <w:hideMark/>
          </w:tcPr>
          <w:p w14:paraId="78427325" w14:textId="77777777" w:rsidR="001759E3" w:rsidRPr="001759E3" w:rsidRDefault="001759E3" w:rsidP="001759E3">
            <w:pPr>
              <w:spacing w:after="0" w:line="240" w:lineRule="auto"/>
              <w:jc w:val="center"/>
              <w:rPr>
                <w:rFonts w:ascii="Arial" w:eastAsia="Times New Roman" w:hAnsi="Arial" w:cs="Arial"/>
                <w:b/>
                <w:bCs/>
                <w:color w:val="757171"/>
                <w:sz w:val="20"/>
                <w:szCs w:val="20"/>
                <w:lang w:val="en-GB" w:eastAsia="en-GB"/>
              </w:rPr>
            </w:pPr>
            <w:r w:rsidRPr="001759E3">
              <w:rPr>
                <w:rFonts w:ascii="Arial" w:eastAsia="Times New Roman" w:hAnsi="Arial" w:cs="Arial"/>
                <w:b/>
                <w:bCs/>
                <w:color w:val="757171"/>
                <w:sz w:val="20"/>
                <w:szCs w:val="20"/>
                <w:lang w:val="en-GB" w:eastAsia="en-GB"/>
              </w:rPr>
              <w:t>22,231</w:t>
            </w:r>
          </w:p>
        </w:tc>
        <w:tc>
          <w:tcPr>
            <w:tcW w:w="1272" w:type="dxa"/>
            <w:tcBorders>
              <w:top w:val="single" w:sz="4" w:space="0" w:color="E7E6E6"/>
              <w:left w:val="single" w:sz="4" w:space="0" w:color="FFFFFF"/>
              <w:bottom w:val="single" w:sz="4" w:space="0" w:color="E7E6E6"/>
              <w:right w:val="single" w:sz="4" w:space="0" w:color="FFFFFF"/>
            </w:tcBorders>
            <w:shd w:val="clear" w:color="FFFFCC" w:fill="FFFFFF"/>
            <w:noWrap/>
            <w:vAlign w:val="center"/>
            <w:hideMark/>
          </w:tcPr>
          <w:p w14:paraId="2848392B" w14:textId="77777777" w:rsidR="001759E3" w:rsidRPr="001759E3" w:rsidRDefault="001759E3" w:rsidP="001759E3">
            <w:pPr>
              <w:spacing w:after="0" w:line="240" w:lineRule="auto"/>
              <w:jc w:val="center"/>
              <w:rPr>
                <w:rFonts w:ascii="Arial" w:eastAsia="Times New Roman" w:hAnsi="Arial" w:cs="Arial"/>
                <w:b/>
                <w:bCs/>
                <w:color w:val="757171"/>
                <w:sz w:val="20"/>
                <w:szCs w:val="20"/>
                <w:lang w:val="en-GB" w:eastAsia="en-GB"/>
              </w:rPr>
            </w:pPr>
            <w:r w:rsidRPr="001759E3">
              <w:rPr>
                <w:rFonts w:ascii="Arial" w:eastAsia="Times New Roman" w:hAnsi="Arial" w:cs="Arial"/>
                <w:b/>
                <w:bCs/>
                <w:color w:val="757171"/>
                <w:sz w:val="20"/>
                <w:szCs w:val="20"/>
                <w:lang w:val="en-GB" w:eastAsia="en-GB"/>
              </w:rPr>
              <w:t>41%</w:t>
            </w:r>
          </w:p>
        </w:tc>
        <w:tc>
          <w:tcPr>
            <w:tcW w:w="1263" w:type="dxa"/>
            <w:tcBorders>
              <w:top w:val="single" w:sz="4" w:space="0" w:color="E7E6E6"/>
              <w:left w:val="single" w:sz="4" w:space="0" w:color="FFFFFF"/>
              <w:bottom w:val="single" w:sz="4" w:space="0" w:color="E7E6E6"/>
              <w:right w:val="single" w:sz="4" w:space="0" w:color="FFFFFF"/>
            </w:tcBorders>
            <w:shd w:val="clear" w:color="FFFFCC" w:fill="FFFFFF"/>
            <w:noWrap/>
            <w:vAlign w:val="center"/>
            <w:hideMark/>
          </w:tcPr>
          <w:p w14:paraId="75C601A8" w14:textId="77777777" w:rsidR="001759E3" w:rsidRPr="001759E3" w:rsidRDefault="001759E3" w:rsidP="001759E3">
            <w:pPr>
              <w:spacing w:after="0" w:line="240" w:lineRule="auto"/>
              <w:jc w:val="center"/>
              <w:rPr>
                <w:rFonts w:ascii="Arial" w:eastAsia="Times New Roman" w:hAnsi="Arial" w:cs="Arial"/>
                <w:color w:val="0070C0"/>
                <w:sz w:val="20"/>
                <w:szCs w:val="20"/>
                <w:lang w:val="en-GB" w:eastAsia="en-GB"/>
              </w:rPr>
            </w:pPr>
            <w:r w:rsidRPr="001759E3">
              <w:rPr>
                <w:rFonts w:ascii="Arial" w:eastAsia="Times New Roman" w:hAnsi="Arial" w:cs="Arial"/>
                <w:color w:val="0070C0"/>
                <w:sz w:val="20"/>
                <w:szCs w:val="20"/>
                <w:lang w:val="en-GB" w:eastAsia="en-GB"/>
              </w:rPr>
              <w:t>+379</w:t>
            </w:r>
          </w:p>
        </w:tc>
        <w:tc>
          <w:tcPr>
            <w:tcW w:w="1275" w:type="dxa"/>
            <w:tcBorders>
              <w:top w:val="single" w:sz="4" w:space="0" w:color="E7E6E6"/>
              <w:left w:val="single" w:sz="4" w:space="0" w:color="FFFFFF"/>
              <w:bottom w:val="single" w:sz="4" w:space="0" w:color="E7E6E6"/>
              <w:right w:val="single" w:sz="4" w:space="0" w:color="FFFFFF"/>
            </w:tcBorders>
            <w:shd w:val="clear" w:color="FFFFCC" w:fill="FFFFFF"/>
            <w:noWrap/>
            <w:vAlign w:val="center"/>
            <w:hideMark/>
          </w:tcPr>
          <w:p w14:paraId="483A7E78" w14:textId="77777777" w:rsidR="001759E3" w:rsidRPr="001759E3" w:rsidRDefault="001759E3" w:rsidP="001759E3">
            <w:pPr>
              <w:spacing w:after="0" w:line="240" w:lineRule="auto"/>
              <w:jc w:val="center"/>
              <w:rPr>
                <w:rFonts w:ascii="Arial" w:eastAsia="Times New Roman" w:hAnsi="Arial" w:cs="Arial"/>
                <w:color w:val="0070C0"/>
                <w:sz w:val="20"/>
                <w:szCs w:val="20"/>
                <w:lang w:val="en-GB" w:eastAsia="en-GB"/>
              </w:rPr>
            </w:pPr>
            <w:r w:rsidRPr="001759E3">
              <w:rPr>
                <w:rFonts w:ascii="Arial" w:eastAsia="Times New Roman" w:hAnsi="Arial" w:cs="Arial"/>
                <w:color w:val="0070C0"/>
                <w:sz w:val="20"/>
                <w:szCs w:val="20"/>
                <w:lang w:val="en-GB" w:eastAsia="en-GB"/>
              </w:rPr>
              <w:t>+2%</w:t>
            </w:r>
          </w:p>
        </w:tc>
      </w:tr>
      <w:tr w:rsidR="001759E3" w:rsidRPr="001759E3" w14:paraId="023ECBEB" w14:textId="77777777" w:rsidTr="0032041F">
        <w:trPr>
          <w:trHeight w:val="255"/>
          <w:jc w:val="center"/>
        </w:trPr>
        <w:tc>
          <w:tcPr>
            <w:tcW w:w="1150" w:type="dxa"/>
            <w:tcBorders>
              <w:top w:val="single" w:sz="4" w:space="0" w:color="E7E6E6"/>
              <w:left w:val="single" w:sz="4" w:space="0" w:color="FFFFFF"/>
              <w:bottom w:val="single" w:sz="4" w:space="0" w:color="E7E6E6"/>
              <w:right w:val="single" w:sz="4" w:space="0" w:color="FFFFFF"/>
            </w:tcBorders>
            <w:shd w:val="clear" w:color="FFFFCC" w:fill="FFFFFF"/>
            <w:vAlign w:val="center"/>
            <w:hideMark/>
          </w:tcPr>
          <w:p w14:paraId="717430E3" w14:textId="77777777" w:rsidR="001759E3" w:rsidRPr="001759E3" w:rsidRDefault="001759E3" w:rsidP="001759E3">
            <w:pPr>
              <w:spacing w:after="0" w:line="240" w:lineRule="auto"/>
              <w:jc w:val="center"/>
              <w:rPr>
                <w:rFonts w:ascii="Arial" w:eastAsia="Times New Roman" w:hAnsi="Arial" w:cs="Arial"/>
                <w:b/>
                <w:bCs/>
                <w:color w:val="000000"/>
                <w:sz w:val="20"/>
                <w:szCs w:val="20"/>
                <w:lang w:val="en-GB" w:eastAsia="en-GB"/>
              </w:rPr>
            </w:pPr>
            <w:r w:rsidRPr="001759E3">
              <w:rPr>
                <w:rFonts w:ascii="Arial" w:eastAsia="Times New Roman" w:hAnsi="Arial" w:cs="Arial"/>
                <w:b/>
                <w:bCs/>
                <w:color w:val="000000"/>
                <w:sz w:val="20"/>
                <w:szCs w:val="20"/>
                <w:lang w:val="en-GB" w:eastAsia="en-GB"/>
              </w:rPr>
              <w:t>Wales</w:t>
            </w:r>
          </w:p>
        </w:tc>
        <w:tc>
          <w:tcPr>
            <w:tcW w:w="1272" w:type="dxa"/>
            <w:tcBorders>
              <w:top w:val="single" w:sz="4" w:space="0" w:color="E7E6E6"/>
              <w:left w:val="single" w:sz="4" w:space="0" w:color="FFFFFF"/>
              <w:bottom w:val="single" w:sz="4" w:space="0" w:color="E7E6E6"/>
              <w:right w:val="single" w:sz="4" w:space="0" w:color="FFFFFF"/>
            </w:tcBorders>
            <w:shd w:val="clear" w:color="FFFFCC" w:fill="FFFFFF"/>
            <w:noWrap/>
            <w:vAlign w:val="center"/>
            <w:hideMark/>
          </w:tcPr>
          <w:p w14:paraId="118472B9" w14:textId="77777777" w:rsidR="001759E3" w:rsidRPr="001759E3" w:rsidRDefault="001759E3" w:rsidP="001759E3">
            <w:pPr>
              <w:spacing w:after="0" w:line="240" w:lineRule="auto"/>
              <w:jc w:val="center"/>
              <w:rPr>
                <w:rFonts w:ascii="Arial" w:eastAsia="Times New Roman" w:hAnsi="Arial" w:cs="Arial"/>
                <w:b/>
                <w:bCs/>
                <w:color w:val="757171"/>
                <w:sz w:val="20"/>
                <w:szCs w:val="20"/>
                <w:lang w:val="en-GB" w:eastAsia="en-GB"/>
              </w:rPr>
            </w:pPr>
            <w:r w:rsidRPr="001759E3">
              <w:rPr>
                <w:rFonts w:ascii="Arial" w:eastAsia="Times New Roman" w:hAnsi="Arial" w:cs="Arial"/>
                <w:b/>
                <w:bCs/>
                <w:color w:val="757171"/>
                <w:sz w:val="20"/>
                <w:szCs w:val="20"/>
                <w:lang w:val="en-GB" w:eastAsia="en-GB"/>
              </w:rPr>
              <w:t>1,348</w:t>
            </w:r>
          </w:p>
        </w:tc>
        <w:tc>
          <w:tcPr>
            <w:tcW w:w="1272" w:type="dxa"/>
            <w:tcBorders>
              <w:top w:val="single" w:sz="4" w:space="0" w:color="E7E6E6"/>
              <w:left w:val="single" w:sz="4" w:space="0" w:color="FFFFFF"/>
              <w:bottom w:val="single" w:sz="4" w:space="0" w:color="E7E6E6"/>
              <w:right w:val="single" w:sz="4" w:space="0" w:color="FFFFFF"/>
            </w:tcBorders>
            <w:shd w:val="clear" w:color="FFFFCC" w:fill="FFFFFF"/>
            <w:noWrap/>
            <w:vAlign w:val="center"/>
            <w:hideMark/>
          </w:tcPr>
          <w:p w14:paraId="2131D93C" w14:textId="77777777" w:rsidR="001759E3" w:rsidRPr="001759E3" w:rsidRDefault="001759E3" w:rsidP="001759E3">
            <w:pPr>
              <w:spacing w:after="0" w:line="240" w:lineRule="auto"/>
              <w:jc w:val="center"/>
              <w:rPr>
                <w:rFonts w:ascii="Arial" w:eastAsia="Times New Roman" w:hAnsi="Arial" w:cs="Arial"/>
                <w:b/>
                <w:bCs/>
                <w:color w:val="757171"/>
                <w:sz w:val="20"/>
                <w:szCs w:val="20"/>
                <w:lang w:val="en-GB" w:eastAsia="en-GB"/>
              </w:rPr>
            </w:pPr>
            <w:r w:rsidRPr="001759E3">
              <w:rPr>
                <w:rFonts w:ascii="Arial" w:eastAsia="Times New Roman" w:hAnsi="Arial" w:cs="Arial"/>
                <w:b/>
                <w:bCs/>
                <w:color w:val="757171"/>
                <w:sz w:val="20"/>
                <w:szCs w:val="20"/>
                <w:lang w:val="en-GB" w:eastAsia="en-GB"/>
              </w:rPr>
              <w:t>27%</w:t>
            </w:r>
          </w:p>
        </w:tc>
        <w:tc>
          <w:tcPr>
            <w:tcW w:w="1263" w:type="dxa"/>
            <w:tcBorders>
              <w:top w:val="single" w:sz="4" w:space="0" w:color="E7E6E6"/>
              <w:left w:val="single" w:sz="4" w:space="0" w:color="FFFFFF"/>
              <w:bottom w:val="single" w:sz="4" w:space="0" w:color="E7E6E6"/>
              <w:right w:val="single" w:sz="4" w:space="0" w:color="FFFFFF"/>
            </w:tcBorders>
            <w:shd w:val="clear" w:color="FFFFCC" w:fill="FFFFFF"/>
            <w:noWrap/>
            <w:vAlign w:val="center"/>
            <w:hideMark/>
          </w:tcPr>
          <w:p w14:paraId="106784DA" w14:textId="77777777" w:rsidR="001759E3" w:rsidRPr="001759E3" w:rsidRDefault="001759E3" w:rsidP="001759E3">
            <w:pPr>
              <w:spacing w:after="0" w:line="240" w:lineRule="auto"/>
              <w:jc w:val="center"/>
              <w:rPr>
                <w:rFonts w:ascii="Arial" w:eastAsia="Times New Roman" w:hAnsi="Arial" w:cs="Arial"/>
                <w:color w:val="0070C0"/>
                <w:sz w:val="20"/>
                <w:szCs w:val="20"/>
                <w:lang w:val="en-GB" w:eastAsia="en-GB"/>
              </w:rPr>
            </w:pPr>
            <w:r w:rsidRPr="001759E3">
              <w:rPr>
                <w:rFonts w:ascii="Arial" w:eastAsia="Times New Roman" w:hAnsi="Arial" w:cs="Arial"/>
                <w:color w:val="0070C0"/>
                <w:sz w:val="20"/>
                <w:szCs w:val="20"/>
                <w:lang w:val="en-GB" w:eastAsia="en-GB"/>
              </w:rPr>
              <w:t>+5</w:t>
            </w:r>
          </w:p>
        </w:tc>
        <w:tc>
          <w:tcPr>
            <w:tcW w:w="1275" w:type="dxa"/>
            <w:tcBorders>
              <w:top w:val="single" w:sz="4" w:space="0" w:color="E7E6E6"/>
              <w:left w:val="single" w:sz="4" w:space="0" w:color="FFFFFF"/>
              <w:bottom w:val="single" w:sz="4" w:space="0" w:color="E7E6E6"/>
              <w:right w:val="single" w:sz="4" w:space="0" w:color="FFFFFF"/>
            </w:tcBorders>
            <w:shd w:val="clear" w:color="FFFFCC" w:fill="FFFFFF"/>
            <w:noWrap/>
            <w:vAlign w:val="center"/>
            <w:hideMark/>
          </w:tcPr>
          <w:p w14:paraId="6E605F8E" w14:textId="77777777" w:rsidR="001759E3" w:rsidRPr="001759E3" w:rsidRDefault="001759E3" w:rsidP="001759E3">
            <w:pPr>
              <w:spacing w:after="0" w:line="240" w:lineRule="auto"/>
              <w:jc w:val="center"/>
              <w:rPr>
                <w:rFonts w:ascii="Arial" w:eastAsia="Times New Roman" w:hAnsi="Arial" w:cs="Arial"/>
                <w:color w:val="0070C0"/>
                <w:sz w:val="20"/>
                <w:szCs w:val="20"/>
                <w:lang w:val="en-GB" w:eastAsia="en-GB"/>
              </w:rPr>
            </w:pPr>
            <w:r w:rsidRPr="001759E3">
              <w:rPr>
                <w:rFonts w:ascii="Arial" w:eastAsia="Times New Roman" w:hAnsi="Arial" w:cs="Arial"/>
                <w:color w:val="0070C0"/>
                <w:sz w:val="20"/>
                <w:szCs w:val="20"/>
                <w:lang w:val="en-GB" w:eastAsia="en-GB"/>
              </w:rPr>
              <w:t>+0%</w:t>
            </w:r>
          </w:p>
        </w:tc>
      </w:tr>
      <w:tr w:rsidR="001759E3" w:rsidRPr="001759E3" w14:paraId="7732EC59" w14:textId="77777777" w:rsidTr="0032041F">
        <w:trPr>
          <w:trHeight w:val="510"/>
          <w:jc w:val="center"/>
        </w:trPr>
        <w:tc>
          <w:tcPr>
            <w:tcW w:w="1150" w:type="dxa"/>
            <w:tcBorders>
              <w:top w:val="single" w:sz="4" w:space="0" w:color="E7E6E6"/>
              <w:left w:val="single" w:sz="4" w:space="0" w:color="FFFFFF"/>
              <w:bottom w:val="single" w:sz="4" w:space="0" w:color="E7E6E6"/>
              <w:right w:val="single" w:sz="4" w:space="0" w:color="FFFFFF"/>
            </w:tcBorders>
            <w:shd w:val="clear" w:color="FFFFCC" w:fill="FFFFFF"/>
            <w:vAlign w:val="center"/>
            <w:hideMark/>
          </w:tcPr>
          <w:p w14:paraId="3E219744" w14:textId="77777777" w:rsidR="001759E3" w:rsidRPr="001759E3" w:rsidRDefault="001759E3" w:rsidP="001759E3">
            <w:pPr>
              <w:spacing w:after="0" w:line="240" w:lineRule="auto"/>
              <w:jc w:val="center"/>
              <w:rPr>
                <w:rFonts w:ascii="Arial" w:eastAsia="Times New Roman" w:hAnsi="Arial" w:cs="Arial"/>
                <w:b/>
                <w:bCs/>
                <w:color w:val="000000"/>
                <w:sz w:val="20"/>
                <w:szCs w:val="20"/>
                <w:lang w:val="en-GB" w:eastAsia="en-GB"/>
              </w:rPr>
            </w:pPr>
            <w:r w:rsidRPr="001759E3">
              <w:rPr>
                <w:rFonts w:ascii="Arial" w:eastAsia="Times New Roman" w:hAnsi="Arial" w:cs="Arial"/>
                <w:b/>
                <w:bCs/>
                <w:color w:val="000000"/>
                <w:sz w:val="20"/>
                <w:szCs w:val="20"/>
                <w:lang w:val="en-GB" w:eastAsia="en-GB"/>
              </w:rPr>
              <w:t>England + Wales</w:t>
            </w:r>
          </w:p>
        </w:tc>
        <w:tc>
          <w:tcPr>
            <w:tcW w:w="1272" w:type="dxa"/>
            <w:tcBorders>
              <w:top w:val="single" w:sz="4" w:space="0" w:color="E7E6E6"/>
              <w:left w:val="single" w:sz="4" w:space="0" w:color="FFFFFF"/>
              <w:bottom w:val="single" w:sz="4" w:space="0" w:color="E7E6E6"/>
              <w:right w:val="single" w:sz="4" w:space="0" w:color="FFFFFF"/>
            </w:tcBorders>
            <w:shd w:val="clear" w:color="FFFFCC" w:fill="FFFFFF"/>
            <w:noWrap/>
            <w:vAlign w:val="center"/>
            <w:hideMark/>
          </w:tcPr>
          <w:p w14:paraId="29B4DB95" w14:textId="77777777" w:rsidR="001759E3" w:rsidRPr="001759E3" w:rsidRDefault="001759E3" w:rsidP="001759E3">
            <w:pPr>
              <w:spacing w:after="0" w:line="240" w:lineRule="auto"/>
              <w:jc w:val="center"/>
              <w:rPr>
                <w:rFonts w:ascii="Arial" w:eastAsia="Times New Roman" w:hAnsi="Arial" w:cs="Arial"/>
                <w:b/>
                <w:bCs/>
                <w:color w:val="757171"/>
                <w:sz w:val="20"/>
                <w:szCs w:val="20"/>
                <w:lang w:val="en-GB" w:eastAsia="en-GB"/>
              </w:rPr>
            </w:pPr>
            <w:r w:rsidRPr="001759E3">
              <w:rPr>
                <w:rFonts w:ascii="Arial" w:eastAsia="Times New Roman" w:hAnsi="Arial" w:cs="Arial"/>
                <w:b/>
                <w:bCs/>
                <w:color w:val="757171"/>
                <w:sz w:val="20"/>
                <w:szCs w:val="20"/>
                <w:lang w:val="en-GB" w:eastAsia="en-GB"/>
              </w:rPr>
              <w:t>43,531</w:t>
            </w:r>
          </w:p>
        </w:tc>
        <w:tc>
          <w:tcPr>
            <w:tcW w:w="1272" w:type="dxa"/>
            <w:tcBorders>
              <w:top w:val="single" w:sz="4" w:space="0" w:color="E7E6E6"/>
              <w:left w:val="single" w:sz="4" w:space="0" w:color="FFFFFF"/>
              <w:bottom w:val="single" w:sz="4" w:space="0" w:color="E7E6E6"/>
              <w:right w:val="single" w:sz="4" w:space="0" w:color="FFFFFF"/>
            </w:tcBorders>
            <w:shd w:val="clear" w:color="FFFFCC" w:fill="FFFFFF"/>
            <w:noWrap/>
            <w:vAlign w:val="center"/>
            <w:hideMark/>
          </w:tcPr>
          <w:p w14:paraId="1A589F60" w14:textId="77777777" w:rsidR="001759E3" w:rsidRPr="001759E3" w:rsidRDefault="001759E3" w:rsidP="001759E3">
            <w:pPr>
              <w:spacing w:after="0" w:line="240" w:lineRule="auto"/>
              <w:jc w:val="center"/>
              <w:rPr>
                <w:rFonts w:ascii="Arial" w:eastAsia="Times New Roman" w:hAnsi="Arial" w:cs="Arial"/>
                <w:b/>
                <w:bCs/>
                <w:color w:val="757171"/>
                <w:sz w:val="20"/>
                <w:szCs w:val="20"/>
                <w:lang w:val="en-GB" w:eastAsia="en-GB"/>
              </w:rPr>
            </w:pPr>
            <w:r w:rsidRPr="001759E3">
              <w:rPr>
                <w:rFonts w:ascii="Arial" w:eastAsia="Times New Roman" w:hAnsi="Arial" w:cs="Arial"/>
                <w:b/>
                <w:bCs/>
                <w:color w:val="757171"/>
                <w:sz w:val="20"/>
                <w:szCs w:val="20"/>
                <w:lang w:val="en-GB" w:eastAsia="en-GB"/>
              </w:rPr>
              <w:t>54%</w:t>
            </w:r>
          </w:p>
        </w:tc>
        <w:tc>
          <w:tcPr>
            <w:tcW w:w="1263" w:type="dxa"/>
            <w:tcBorders>
              <w:top w:val="single" w:sz="4" w:space="0" w:color="E7E6E6"/>
              <w:left w:val="single" w:sz="4" w:space="0" w:color="FFFFFF"/>
              <w:bottom w:val="single" w:sz="4" w:space="0" w:color="E7E6E6"/>
              <w:right w:val="single" w:sz="4" w:space="0" w:color="FFFFFF"/>
            </w:tcBorders>
            <w:shd w:val="clear" w:color="FFFFCC" w:fill="FFFFFF"/>
            <w:noWrap/>
            <w:vAlign w:val="center"/>
            <w:hideMark/>
          </w:tcPr>
          <w:p w14:paraId="54E6DAD9" w14:textId="77777777" w:rsidR="001759E3" w:rsidRPr="001759E3" w:rsidRDefault="001759E3" w:rsidP="001759E3">
            <w:pPr>
              <w:spacing w:after="0" w:line="240" w:lineRule="auto"/>
              <w:jc w:val="center"/>
              <w:rPr>
                <w:rFonts w:ascii="Arial" w:eastAsia="Times New Roman" w:hAnsi="Arial" w:cs="Arial"/>
                <w:color w:val="C00000"/>
                <w:sz w:val="20"/>
                <w:szCs w:val="20"/>
                <w:lang w:val="en-GB" w:eastAsia="en-GB"/>
              </w:rPr>
            </w:pPr>
            <w:r w:rsidRPr="001759E3">
              <w:rPr>
                <w:rFonts w:ascii="Arial" w:eastAsia="Times New Roman" w:hAnsi="Arial" w:cs="Arial"/>
                <w:color w:val="C00000"/>
                <w:sz w:val="20"/>
                <w:szCs w:val="20"/>
                <w:lang w:val="en-GB" w:eastAsia="en-GB"/>
              </w:rPr>
              <w:t>-816</w:t>
            </w:r>
          </w:p>
        </w:tc>
        <w:tc>
          <w:tcPr>
            <w:tcW w:w="1275" w:type="dxa"/>
            <w:tcBorders>
              <w:top w:val="single" w:sz="4" w:space="0" w:color="E7E6E6"/>
              <w:left w:val="single" w:sz="4" w:space="0" w:color="FFFFFF"/>
              <w:bottom w:val="single" w:sz="4" w:space="0" w:color="E7E6E6"/>
              <w:right w:val="single" w:sz="4" w:space="0" w:color="FFFFFF"/>
            </w:tcBorders>
            <w:shd w:val="clear" w:color="FFFFCC" w:fill="FFFFFF"/>
            <w:noWrap/>
            <w:vAlign w:val="center"/>
            <w:hideMark/>
          </w:tcPr>
          <w:p w14:paraId="3766A0C8" w14:textId="77777777" w:rsidR="001759E3" w:rsidRPr="001759E3" w:rsidRDefault="001759E3" w:rsidP="001759E3">
            <w:pPr>
              <w:spacing w:after="0" w:line="240" w:lineRule="auto"/>
              <w:jc w:val="center"/>
              <w:rPr>
                <w:rFonts w:ascii="Arial" w:eastAsia="Times New Roman" w:hAnsi="Arial" w:cs="Arial"/>
                <w:color w:val="C00000"/>
                <w:sz w:val="20"/>
                <w:szCs w:val="20"/>
                <w:lang w:val="en-GB" w:eastAsia="en-GB"/>
              </w:rPr>
            </w:pPr>
            <w:r w:rsidRPr="001759E3">
              <w:rPr>
                <w:rFonts w:ascii="Arial" w:eastAsia="Times New Roman" w:hAnsi="Arial" w:cs="Arial"/>
                <w:color w:val="C00000"/>
                <w:sz w:val="20"/>
                <w:szCs w:val="20"/>
                <w:lang w:val="en-GB" w:eastAsia="en-GB"/>
              </w:rPr>
              <w:t>-2%</w:t>
            </w:r>
          </w:p>
        </w:tc>
      </w:tr>
      <w:tr w:rsidR="001759E3" w:rsidRPr="001759E3" w14:paraId="7B75AA2F" w14:textId="77777777" w:rsidTr="0032041F">
        <w:trPr>
          <w:trHeight w:val="255"/>
          <w:jc w:val="center"/>
        </w:trPr>
        <w:tc>
          <w:tcPr>
            <w:tcW w:w="1150" w:type="dxa"/>
            <w:tcBorders>
              <w:top w:val="single" w:sz="4" w:space="0" w:color="E7E6E6"/>
              <w:left w:val="single" w:sz="4" w:space="0" w:color="FFFFFF"/>
              <w:bottom w:val="single" w:sz="4" w:space="0" w:color="auto"/>
              <w:right w:val="single" w:sz="4" w:space="0" w:color="FFFFFF"/>
            </w:tcBorders>
            <w:shd w:val="clear" w:color="FFFFCC" w:fill="FFFFFF"/>
            <w:vAlign w:val="center"/>
            <w:hideMark/>
          </w:tcPr>
          <w:p w14:paraId="77A20E69" w14:textId="77777777" w:rsidR="001759E3" w:rsidRPr="001759E3" w:rsidRDefault="001759E3" w:rsidP="001759E3">
            <w:pPr>
              <w:spacing w:after="0" w:line="240" w:lineRule="auto"/>
              <w:jc w:val="center"/>
              <w:rPr>
                <w:rFonts w:ascii="Arial" w:eastAsia="Times New Roman" w:hAnsi="Arial" w:cs="Arial"/>
                <w:b/>
                <w:bCs/>
                <w:color w:val="000000"/>
                <w:sz w:val="20"/>
                <w:szCs w:val="20"/>
                <w:lang w:val="en-GB" w:eastAsia="en-GB"/>
              </w:rPr>
            </w:pPr>
            <w:r w:rsidRPr="001759E3">
              <w:rPr>
                <w:rFonts w:ascii="Arial" w:eastAsia="Times New Roman" w:hAnsi="Arial" w:cs="Arial"/>
                <w:b/>
                <w:bCs/>
                <w:color w:val="000000"/>
                <w:sz w:val="20"/>
                <w:szCs w:val="20"/>
                <w:lang w:val="en-GB" w:eastAsia="en-GB"/>
              </w:rPr>
              <w:t>Scotland</w:t>
            </w:r>
          </w:p>
        </w:tc>
        <w:tc>
          <w:tcPr>
            <w:tcW w:w="1272" w:type="dxa"/>
            <w:tcBorders>
              <w:top w:val="single" w:sz="4" w:space="0" w:color="E7E6E6"/>
              <w:left w:val="single" w:sz="4" w:space="0" w:color="FFFFFF"/>
              <w:bottom w:val="single" w:sz="4" w:space="0" w:color="auto"/>
              <w:right w:val="single" w:sz="4" w:space="0" w:color="FFFFFF"/>
            </w:tcBorders>
            <w:shd w:val="clear" w:color="FFFFCC" w:fill="FFFFFF"/>
            <w:noWrap/>
            <w:vAlign w:val="center"/>
            <w:hideMark/>
          </w:tcPr>
          <w:p w14:paraId="1F0FCA8E" w14:textId="77777777" w:rsidR="001759E3" w:rsidRPr="001759E3" w:rsidRDefault="001759E3" w:rsidP="001759E3">
            <w:pPr>
              <w:spacing w:after="0" w:line="240" w:lineRule="auto"/>
              <w:jc w:val="center"/>
              <w:rPr>
                <w:rFonts w:ascii="Arial" w:eastAsia="Times New Roman" w:hAnsi="Arial" w:cs="Arial"/>
                <w:b/>
                <w:bCs/>
                <w:color w:val="757171"/>
                <w:sz w:val="20"/>
                <w:szCs w:val="20"/>
                <w:lang w:val="en-GB" w:eastAsia="en-GB"/>
              </w:rPr>
            </w:pPr>
            <w:r w:rsidRPr="001759E3">
              <w:rPr>
                <w:rFonts w:ascii="Arial" w:eastAsia="Times New Roman" w:hAnsi="Arial" w:cs="Arial"/>
                <w:b/>
                <w:bCs/>
                <w:color w:val="757171"/>
                <w:sz w:val="20"/>
                <w:szCs w:val="20"/>
                <w:lang w:val="en-GB" w:eastAsia="en-GB"/>
              </w:rPr>
              <w:t>4,954</w:t>
            </w:r>
          </w:p>
        </w:tc>
        <w:tc>
          <w:tcPr>
            <w:tcW w:w="1272" w:type="dxa"/>
            <w:tcBorders>
              <w:top w:val="single" w:sz="4" w:space="0" w:color="E7E6E6"/>
              <w:left w:val="single" w:sz="4" w:space="0" w:color="FFFFFF"/>
              <w:bottom w:val="single" w:sz="4" w:space="0" w:color="auto"/>
              <w:right w:val="single" w:sz="4" w:space="0" w:color="FFFFFF"/>
            </w:tcBorders>
            <w:shd w:val="clear" w:color="FFFFCC" w:fill="FFFFFF"/>
            <w:noWrap/>
            <w:vAlign w:val="center"/>
            <w:hideMark/>
          </w:tcPr>
          <w:p w14:paraId="3BDA7F87" w14:textId="77777777" w:rsidR="001759E3" w:rsidRPr="001759E3" w:rsidRDefault="001759E3" w:rsidP="001759E3">
            <w:pPr>
              <w:spacing w:after="0" w:line="240" w:lineRule="auto"/>
              <w:jc w:val="center"/>
              <w:rPr>
                <w:rFonts w:ascii="Arial" w:eastAsia="Times New Roman" w:hAnsi="Arial" w:cs="Arial"/>
                <w:b/>
                <w:bCs/>
                <w:color w:val="757171"/>
                <w:sz w:val="20"/>
                <w:szCs w:val="20"/>
                <w:lang w:val="en-GB" w:eastAsia="en-GB"/>
              </w:rPr>
            </w:pPr>
            <w:r w:rsidRPr="001759E3">
              <w:rPr>
                <w:rFonts w:ascii="Arial" w:eastAsia="Times New Roman" w:hAnsi="Arial" w:cs="Arial"/>
                <w:b/>
                <w:bCs/>
                <w:color w:val="757171"/>
                <w:sz w:val="20"/>
                <w:szCs w:val="20"/>
                <w:lang w:val="en-GB" w:eastAsia="en-GB"/>
              </w:rPr>
              <w:t>47%</w:t>
            </w:r>
          </w:p>
        </w:tc>
        <w:tc>
          <w:tcPr>
            <w:tcW w:w="1263" w:type="dxa"/>
            <w:tcBorders>
              <w:top w:val="single" w:sz="4" w:space="0" w:color="E7E6E6"/>
              <w:left w:val="single" w:sz="4" w:space="0" w:color="FFFFFF"/>
              <w:bottom w:val="single" w:sz="4" w:space="0" w:color="000000"/>
              <w:right w:val="single" w:sz="4" w:space="0" w:color="FFFFFF"/>
            </w:tcBorders>
            <w:shd w:val="clear" w:color="FFFFCC" w:fill="FFFFFF"/>
            <w:noWrap/>
            <w:vAlign w:val="center"/>
            <w:hideMark/>
          </w:tcPr>
          <w:p w14:paraId="485B44FF" w14:textId="77777777" w:rsidR="001759E3" w:rsidRPr="001759E3" w:rsidRDefault="001759E3" w:rsidP="001759E3">
            <w:pPr>
              <w:spacing w:after="0" w:line="240" w:lineRule="auto"/>
              <w:jc w:val="center"/>
              <w:rPr>
                <w:rFonts w:ascii="Arial" w:eastAsia="Times New Roman" w:hAnsi="Arial" w:cs="Arial"/>
                <w:color w:val="000000"/>
                <w:sz w:val="20"/>
                <w:szCs w:val="20"/>
                <w:lang w:val="en-GB" w:eastAsia="en-GB"/>
              </w:rPr>
            </w:pPr>
            <w:r w:rsidRPr="001759E3">
              <w:rPr>
                <w:rFonts w:ascii="Arial" w:eastAsia="Times New Roman" w:hAnsi="Arial" w:cs="Arial"/>
                <w:color w:val="000000"/>
                <w:sz w:val="20"/>
                <w:szCs w:val="20"/>
                <w:lang w:val="en-GB" w:eastAsia="en-GB"/>
              </w:rPr>
              <w:t>n/a</w:t>
            </w:r>
          </w:p>
        </w:tc>
        <w:tc>
          <w:tcPr>
            <w:tcW w:w="1275" w:type="dxa"/>
            <w:tcBorders>
              <w:top w:val="single" w:sz="4" w:space="0" w:color="E7E6E6"/>
              <w:left w:val="single" w:sz="4" w:space="0" w:color="FFFFFF"/>
              <w:bottom w:val="single" w:sz="4" w:space="0" w:color="000000"/>
              <w:right w:val="single" w:sz="4" w:space="0" w:color="FFFFFF"/>
            </w:tcBorders>
            <w:shd w:val="clear" w:color="FFFFCC" w:fill="FFFFFF"/>
            <w:noWrap/>
            <w:vAlign w:val="center"/>
            <w:hideMark/>
          </w:tcPr>
          <w:p w14:paraId="7072B424" w14:textId="77777777" w:rsidR="001759E3" w:rsidRPr="001759E3" w:rsidRDefault="001759E3" w:rsidP="001759E3">
            <w:pPr>
              <w:spacing w:after="0" w:line="240" w:lineRule="auto"/>
              <w:jc w:val="center"/>
              <w:rPr>
                <w:rFonts w:ascii="Arial" w:eastAsia="Times New Roman" w:hAnsi="Arial" w:cs="Arial"/>
                <w:color w:val="000000"/>
                <w:sz w:val="20"/>
                <w:szCs w:val="20"/>
                <w:lang w:val="en-GB" w:eastAsia="en-GB"/>
              </w:rPr>
            </w:pPr>
            <w:r w:rsidRPr="001759E3">
              <w:rPr>
                <w:rFonts w:ascii="Arial" w:eastAsia="Times New Roman" w:hAnsi="Arial" w:cs="Arial"/>
                <w:color w:val="000000"/>
                <w:sz w:val="20"/>
                <w:szCs w:val="20"/>
                <w:lang w:val="en-GB" w:eastAsia="en-GB"/>
              </w:rPr>
              <w:t>n/a</w:t>
            </w:r>
          </w:p>
        </w:tc>
      </w:tr>
    </w:tbl>
    <w:p w14:paraId="28CDFA12" w14:textId="77777777" w:rsidR="0032041F" w:rsidRDefault="0032041F" w:rsidP="00F151EA">
      <w:pPr>
        <w:pStyle w:val="Caption"/>
      </w:pPr>
    </w:p>
    <w:tbl>
      <w:tblPr>
        <w:tblW w:w="9130" w:type="dxa"/>
        <w:tblLook w:val="04A0" w:firstRow="1" w:lastRow="0" w:firstColumn="1" w:lastColumn="0" w:noHBand="0" w:noVBand="1"/>
      </w:tblPr>
      <w:tblGrid>
        <w:gridCol w:w="1150"/>
        <w:gridCol w:w="1272"/>
        <w:gridCol w:w="1272"/>
        <w:gridCol w:w="1263"/>
        <w:gridCol w:w="1275"/>
        <w:gridCol w:w="1751"/>
        <w:gridCol w:w="1147"/>
      </w:tblGrid>
      <w:tr w:rsidR="0032041F" w:rsidRPr="001759E3" w14:paraId="34E03D7F" w14:textId="77777777" w:rsidTr="007C4FDE">
        <w:trPr>
          <w:trHeight w:val="780"/>
        </w:trPr>
        <w:tc>
          <w:tcPr>
            <w:tcW w:w="1150" w:type="dxa"/>
            <w:tcBorders>
              <w:top w:val="single" w:sz="4" w:space="0" w:color="757171"/>
              <w:left w:val="single" w:sz="4" w:space="0" w:color="757171"/>
              <w:bottom w:val="single" w:sz="4" w:space="0" w:color="000000"/>
              <w:right w:val="single" w:sz="4" w:space="0" w:color="757171"/>
            </w:tcBorders>
            <w:shd w:val="clear" w:color="FFFFCC" w:fill="FFFFFF"/>
            <w:noWrap/>
            <w:vAlign w:val="bottom"/>
            <w:hideMark/>
          </w:tcPr>
          <w:p w14:paraId="4E62421C" w14:textId="77777777" w:rsidR="0032041F" w:rsidRPr="001759E3" w:rsidRDefault="0032041F" w:rsidP="007C4FDE">
            <w:pPr>
              <w:spacing w:after="0" w:line="240" w:lineRule="auto"/>
              <w:jc w:val="center"/>
              <w:rPr>
                <w:rFonts w:ascii="Arial" w:eastAsia="Times New Roman" w:hAnsi="Arial" w:cs="Arial"/>
                <w:b/>
                <w:bCs/>
                <w:color w:val="000000"/>
                <w:sz w:val="20"/>
                <w:szCs w:val="20"/>
                <w:lang w:val="en-GB" w:eastAsia="en-GB"/>
              </w:rPr>
            </w:pPr>
            <w:r w:rsidRPr="001759E3">
              <w:rPr>
                <w:rFonts w:ascii="Arial" w:eastAsia="Times New Roman" w:hAnsi="Arial" w:cs="Arial"/>
                <w:b/>
                <w:bCs/>
                <w:color w:val="000000"/>
                <w:sz w:val="20"/>
                <w:szCs w:val="20"/>
                <w:lang w:val="en-GB" w:eastAsia="en-GB"/>
              </w:rPr>
              <w:t>Country</w:t>
            </w:r>
          </w:p>
        </w:tc>
        <w:tc>
          <w:tcPr>
            <w:tcW w:w="1272" w:type="dxa"/>
            <w:tcBorders>
              <w:top w:val="single" w:sz="4" w:space="0" w:color="000000"/>
              <w:left w:val="single" w:sz="4" w:space="0" w:color="000000"/>
              <w:bottom w:val="single" w:sz="4" w:space="0" w:color="000000"/>
              <w:right w:val="single" w:sz="4" w:space="0" w:color="FFFFFF"/>
            </w:tcBorders>
            <w:shd w:val="clear" w:color="FFFFCC" w:fill="FFFFFF"/>
            <w:vAlign w:val="bottom"/>
            <w:hideMark/>
          </w:tcPr>
          <w:p w14:paraId="2A8F1CCA" w14:textId="77777777" w:rsidR="0032041F" w:rsidRPr="001759E3" w:rsidRDefault="0032041F" w:rsidP="007C4FDE">
            <w:pPr>
              <w:spacing w:after="0" w:line="240" w:lineRule="auto"/>
              <w:jc w:val="center"/>
              <w:rPr>
                <w:rFonts w:ascii="Arial" w:eastAsia="Times New Roman" w:hAnsi="Arial" w:cs="Arial"/>
                <w:b/>
                <w:bCs/>
                <w:color w:val="000000"/>
                <w:sz w:val="20"/>
                <w:szCs w:val="20"/>
                <w:lang w:val="en-GB" w:eastAsia="en-GB"/>
              </w:rPr>
            </w:pPr>
            <w:r w:rsidRPr="001759E3">
              <w:rPr>
                <w:rFonts w:ascii="Arial" w:eastAsia="Times New Roman" w:hAnsi="Arial" w:cs="Arial"/>
                <w:b/>
                <w:bCs/>
                <w:color w:val="000000"/>
                <w:sz w:val="20"/>
                <w:szCs w:val="20"/>
                <w:lang w:val="en-GB" w:eastAsia="en-GB"/>
              </w:rPr>
              <w:t>Number Authorities Increased</w:t>
            </w:r>
          </w:p>
        </w:tc>
        <w:tc>
          <w:tcPr>
            <w:tcW w:w="1272" w:type="dxa"/>
            <w:tcBorders>
              <w:top w:val="single" w:sz="4" w:space="0" w:color="000000"/>
              <w:left w:val="single" w:sz="4" w:space="0" w:color="FFFFFF"/>
              <w:bottom w:val="single" w:sz="4" w:space="0" w:color="000000"/>
              <w:right w:val="single" w:sz="4" w:space="0" w:color="FFFFFF"/>
            </w:tcBorders>
            <w:shd w:val="clear" w:color="FFFFCC" w:fill="FFFFFF"/>
            <w:vAlign w:val="bottom"/>
            <w:hideMark/>
          </w:tcPr>
          <w:p w14:paraId="4F504B72" w14:textId="77777777" w:rsidR="0032041F" w:rsidRPr="001759E3" w:rsidRDefault="0032041F" w:rsidP="007C4FDE">
            <w:pPr>
              <w:spacing w:after="0" w:line="240" w:lineRule="auto"/>
              <w:jc w:val="center"/>
              <w:rPr>
                <w:rFonts w:ascii="Arial" w:eastAsia="Times New Roman" w:hAnsi="Arial" w:cs="Arial"/>
                <w:b/>
                <w:bCs/>
                <w:color w:val="000000"/>
                <w:sz w:val="20"/>
                <w:szCs w:val="20"/>
                <w:lang w:val="en-GB" w:eastAsia="en-GB"/>
              </w:rPr>
            </w:pPr>
            <w:r w:rsidRPr="001759E3">
              <w:rPr>
                <w:rFonts w:ascii="Arial" w:eastAsia="Times New Roman" w:hAnsi="Arial" w:cs="Arial"/>
                <w:b/>
                <w:bCs/>
                <w:color w:val="000000"/>
                <w:sz w:val="20"/>
                <w:szCs w:val="20"/>
                <w:lang w:val="en-GB" w:eastAsia="en-GB"/>
              </w:rPr>
              <w:t>Proportion Authorities Increased</w:t>
            </w:r>
          </w:p>
        </w:tc>
        <w:tc>
          <w:tcPr>
            <w:tcW w:w="1263" w:type="dxa"/>
            <w:tcBorders>
              <w:top w:val="single" w:sz="4" w:space="0" w:color="000000"/>
              <w:left w:val="single" w:sz="4" w:space="0" w:color="FFFFFF"/>
              <w:bottom w:val="single" w:sz="4" w:space="0" w:color="000000"/>
              <w:right w:val="single" w:sz="4" w:space="0" w:color="000000"/>
            </w:tcBorders>
            <w:shd w:val="clear" w:color="FFFFCC" w:fill="FFFFFF"/>
            <w:vAlign w:val="bottom"/>
            <w:hideMark/>
          </w:tcPr>
          <w:p w14:paraId="566B3AFD" w14:textId="77777777" w:rsidR="0032041F" w:rsidRPr="001759E3" w:rsidRDefault="0032041F" w:rsidP="007C4FDE">
            <w:pPr>
              <w:spacing w:after="0" w:line="240" w:lineRule="auto"/>
              <w:jc w:val="center"/>
              <w:rPr>
                <w:rFonts w:ascii="Arial" w:eastAsia="Times New Roman" w:hAnsi="Arial" w:cs="Arial"/>
                <w:b/>
                <w:bCs/>
                <w:color w:val="000000"/>
                <w:sz w:val="20"/>
                <w:szCs w:val="20"/>
                <w:lang w:val="en-GB" w:eastAsia="en-GB"/>
              </w:rPr>
            </w:pPr>
            <w:r w:rsidRPr="001759E3">
              <w:rPr>
                <w:rFonts w:ascii="Arial" w:eastAsia="Times New Roman" w:hAnsi="Arial" w:cs="Arial"/>
                <w:b/>
                <w:bCs/>
                <w:color w:val="000000"/>
                <w:sz w:val="20"/>
                <w:szCs w:val="20"/>
                <w:lang w:val="en-GB" w:eastAsia="en-GB"/>
              </w:rPr>
              <w:t>Ave Inc WAV # / Authority</w:t>
            </w:r>
          </w:p>
        </w:tc>
        <w:tc>
          <w:tcPr>
            <w:tcW w:w="1275" w:type="dxa"/>
            <w:tcBorders>
              <w:top w:val="single" w:sz="4" w:space="0" w:color="757171"/>
              <w:left w:val="single" w:sz="4" w:space="0" w:color="FFFFFF"/>
              <w:bottom w:val="single" w:sz="4" w:space="0" w:color="000000"/>
              <w:right w:val="single" w:sz="4" w:space="0" w:color="FFFFFF"/>
            </w:tcBorders>
            <w:shd w:val="clear" w:color="FFFFCC" w:fill="FFFFFF"/>
            <w:vAlign w:val="bottom"/>
            <w:hideMark/>
          </w:tcPr>
          <w:p w14:paraId="6AC2EF4C" w14:textId="77777777" w:rsidR="0032041F" w:rsidRPr="001759E3" w:rsidRDefault="0032041F" w:rsidP="007C4FDE">
            <w:pPr>
              <w:spacing w:after="0" w:line="240" w:lineRule="auto"/>
              <w:jc w:val="center"/>
              <w:rPr>
                <w:rFonts w:ascii="Arial" w:eastAsia="Times New Roman" w:hAnsi="Arial" w:cs="Arial"/>
                <w:b/>
                <w:bCs/>
                <w:color w:val="000000"/>
                <w:sz w:val="20"/>
                <w:szCs w:val="20"/>
                <w:lang w:val="en-GB" w:eastAsia="en-GB"/>
              </w:rPr>
            </w:pPr>
            <w:r w:rsidRPr="001759E3">
              <w:rPr>
                <w:rFonts w:ascii="Arial" w:eastAsia="Times New Roman" w:hAnsi="Arial" w:cs="Arial"/>
                <w:b/>
                <w:bCs/>
                <w:color w:val="000000"/>
                <w:sz w:val="20"/>
                <w:szCs w:val="20"/>
                <w:lang w:val="en-GB" w:eastAsia="en-GB"/>
              </w:rPr>
              <w:t>Number Authorities Decreased</w:t>
            </w:r>
          </w:p>
        </w:tc>
        <w:tc>
          <w:tcPr>
            <w:tcW w:w="1751" w:type="dxa"/>
            <w:tcBorders>
              <w:top w:val="single" w:sz="4" w:space="0" w:color="757171"/>
              <w:left w:val="single" w:sz="4" w:space="0" w:color="FFFFFF"/>
              <w:bottom w:val="single" w:sz="4" w:space="0" w:color="000000"/>
              <w:right w:val="single" w:sz="4" w:space="0" w:color="FFFFFF"/>
            </w:tcBorders>
            <w:shd w:val="clear" w:color="FFFFCC" w:fill="FFFFFF"/>
            <w:vAlign w:val="bottom"/>
            <w:hideMark/>
          </w:tcPr>
          <w:p w14:paraId="53632C52" w14:textId="77777777" w:rsidR="0032041F" w:rsidRPr="001759E3" w:rsidRDefault="0032041F" w:rsidP="007C4FDE">
            <w:pPr>
              <w:spacing w:after="0" w:line="240" w:lineRule="auto"/>
              <w:jc w:val="center"/>
              <w:rPr>
                <w:rFonts w:ascii="Arial" w:eastAsia="Times New Roman" w:hAnsi="Arial" w:cs="Arial"/>
                <w:b/>
                <w:bCs/>
                <w:color w:val="000000"/>
                <w:sz w:val="20"/>
                <w:szCs w:val="20"/>
                <w:lang w:val="en-GB" w:eastAsia="en-GB"/>
              </w:rPr>
            </w:pPr>
            <w:r w:rsidRPr="001759E3">
              <w:rPr>
                <w:rFonts w:ascii="Arial" w:eastAsia="Times New Roman" w:hAnsi="Arial" w:cs="Arial"/>
                <w:b/>
                <w:bCs/>
                <w:color w:val="000000"/>
                <w:sz w:val="20"/>
                <w:szCs w:val="20"/>
                <w:lang w:val="en-GB" w:eastAsia="en-GB"/>
              </w:rPr>
              <w:t>Proportion Authorities Decreased</w:t>
            </w:r>
          </w:p>
        </w:tc>
        <w:tc>
          <w:tcPr>
            <w:tcW w:w="1147" w:type="dxa"/>
            <w:tcBorders>
              <w:top w:val="single" w:sz="4" w:space="0" w:color="757171"/>
              <w:left w:val="single" w:sz="4" w:space="0" w:color="FFFFFF"/>
              <w:bottom w:val="single" w:sz="4" w:space="0" w:color="000000"/>
              <w:right w:val="single" w:sz="4" w:space="0" w:color="000000"/>
            </w:tcBorders>
            <w:shd w:val="clear" w:color="FFFFCC" w:fill="FFFFFF"/>
            <w:vAlign w:val="bottom"/>
            <w:hideMark/>
          </w:tcPr>
          <w:p w14:paraId="1EA82D58" w14:textId="77777777" w:rsidR="0032041F" w:rsidRPr="001759E3" w:rsidRDefault="0032041F" w:rsidP="007C4FDE">
            <w:pPr>
              <w:spacing w:after="0" w:line="240" w:lineRule="auto"/>
              <w:jc w:val="center"/>
              <w:rPr>
                <w:rFonts w:ascii="Arial" w:eastAsia="Times New Roman" w:hAnsi="Arial" w:cs="Arial"/>
                <w:b/>
                <w:bCs/>
                <w:color w:val="000000"/>
                <w:sz w:val="20"/>
                <w:szCs w:val="20"/>
                <w:lang w:val="en-GB" w:eastAsia="en-GB"/>
              </w:rPr>
            </w:pPr>
            <w:r w:rsidRPr="001759E3">
              <w:rPr>
                <w:rFonts w:ascii="Arial" w:eastAsia="Times New Roman" w:hAnsi="Arial" w:cs="Arial"/>
                <w:b/>
                <w:bCs/>
                <w:color w:val="000000"/>
                <w:sz w:val="20"/>
                <w:szCs w:val="20"/>
                <w:lang w:val="en-GB" w:eastAsia="en-GB"/>
              </w:rPr>
              <w:t>Ave Dec WAV # / Authority</w:t>
            </w:r>
          </w:p>
        </w:tc>
      </w:tr>
      <w:tr w:rsidR="0032041F" w:rsidRPr="001759E3" w14:paraId="08CA692A" w14:textId="77777777" w:rsidTr="007C4FDE">
        <w:trPr>
          <w:trHeight w:val="255"/>
        </w:trPr>
        <w:tc>
          <w:tcPr>
            <w:tcW w:w="1150" w:type="dxa"/>
            <w:tcBorders>
              <w:top w:val="single" w:sz="4" w:space="0" w:color="000000"/>
              <w:left w:val="single" w:sz="4" w:space="0" w:color="FFFFFF"/>
              <w:bottom w:val="single" w:sz="4" w:space="0" w:color="E7E6E6"/>
              <w:right w:val="single" w:sz="4" w:space="0" w:color="FFFFFF"/>
            </w:tcBorders>
            <w:shd w:val="clear" w:color="FFFFCC" w:fill="FFFFFF"/>
            <w:vAlign w:val="center"/>
            <w:hideMark/>
          </w:tcPr>
          <w:p w14:paraId="19A3F147" w14:textId="77777777" w:rsidR="0032041F" w:rsidRPr="001759E3" w:rsidRDefault="0032041F" w:rsidP="007C4FDE">
            <w:pPr>
              <w:spacing w:after="0" w:line="240" w:lineRule="auto"/>
              <w:jc w:val="center"/>
              <w:rPr>
                <w:rFonts w:ascii="Arial" w:eastAsia="Times New Roman" w:hAnsi="Arial" w:cs="Arial"/>
                <w:b/>
                <w:bCs/>
                <w:color w:val="000000"/>
                <w:sz w:val="20"/>
                <w:szCs w:val="20"/>
                <w:lang w:val="en-GB" w:eastAsia="en-GB"/>
              </w:rPr>
            </w:pPr>
            <w:r w:rsidRPr="001759E3">
              <w:rPr>
                <w:rFonts w:ascii="Arial" w:eastAsia="Times New Roman" w:hAnsi="Arial" w:cs="Arial"/>
                <w:b/>
                <w:bCs/>
                <w:color w:val="000000"/>
                <w:sz w:val="20"/>
                <w:szCs w:val="20"/>
                <w:lang w:val="en-GB" w:eastAsia="en-GB"/>
              </w:rPr>
              <w:t>England</w:t>
            </w:r>
          </w:p>
        </w:tc>
        <w:tc>
          <w:tcPr>
            <w:tcW w:w="1272" w:type="dxa"/>
            <w:tcBorders>
              <w:top w:val="single" w:sz="4" w:space="0" w:color="000000"/>
              <w:left w:val="single" w:sz="4" w:space="0" w:color="000000"/>
              <w:bottom w:val="single" w:sz="4" w:space="0" w:color="E7E6E6"/>
              <w:right w:val="single" w:sz="4" w:space="0" w:color="FFFFFF"/>
            </w:tcBorders>
            <w:shd w:val="clear" w:color="FFFFCC" w:fill="FFFFFF"/>
            <w:noWrap/>
            <w:vAlign w:val="center"/>
            <w:hideMark/>
          </w:tcPr>
          <w:p w14:paraId="416BF6DA" w14:textId="77777777" w:rsidR="0032041F" w:rsidRPr="001759E3" w:rsidRDefault="0032041F" w:rsidP="007C4FDE">
            <w:pPr>
              <w:spacing w:after="0" w:line="240" w:lineRule="auto"/>
              <w:jc w:val="center"/>
              <w:rPr>
                <w:rFonts w:ascii="Arial" w:eastAsia="Times New Roman" w:hAnsi="Arial" w:cs="Arial"/>
                <w:color w:val="000000"/>
                <w:sz w:val="20"/>
                <w:szCs w:val="20"/>
                <w:lang w:val="en-GB" w:eastAsia="en-GB"/>
              </w:rPr>
            </w:pPr>
            <w:r w:rsidRPr="001759E3">
              <w:rPr>
                <w:rFonts w:ascii="Arial" w:eastAsia="Times New Roman" w:hAnsi="Arial" w:cs="Arial"/>
                <w:color w:val="0070C0"/>
                <w:sz w:val="20"/>
                <w:szCs w:val="20"/>
                <w:lang w:val="en-GB" w:eastAsia="en-GB"/>
              </w:rPr>
              <w:t>+115</w:t>
            </w:r>
          </w:p>
        </w:tc>
        <w:tc>
          <w:tcPr>
            <w:tcW w:w="1272" w:type="dxa"/>
            <w:tcBorders>
              <w:top w:val="single" w:sz="4" w:space="0" w:color="000000"/>
              <w:left w:val="single" w:sz="4" w:space="0" w:color="FFFFFF"/>
              <w:bottom w:val="single" w:sz="4" w:space="0" w:color="E7E6E6"/>
              <w:right w:val="single" w:sz="4" w:space="0" w:color="FFFFFF"/>
            </w:tcBorders>
            <w:shd w:val="clear" w:color="FFFFCC" w:fill="FFFFFF"/>
            <w:noWrap/>
            <w:vAlign w:val="center"/>
            <w:hideMark/>
          </w:tcPr>
          <w:p w14:paraId="65E9DCAA" w14:textId="77777777" w:rsidR="0032041F" w:rsidRPr="001759E3" w:rsidRDefault="0032041F" w:rsidP="007C4FDE">
            <w:pPr>
              <w:spacing w:after="0" w:line="240" w:lineRule="auto"/>
              <w:jc w:val="center"/>
              <w:rPr>
                <w:rFonts w:ascii="Arial" w:eastAsia="Times New Roman" w:hAnsi="Arial" w:cs="Arial"/>
                <w:color w:val="000000"/>
                <w:sz w:val="20"/>
                <w:szCs w:val="20"/>
                <w:lang w:val="en-GB" w:eastAsia="en-GB"/>
              </w:rPr>
            </w:pPr>
            <w:r w:rsidRPr="001759E3">
              <w:rPr>
                <w:rFonts w:ascii="Arial" w:eastAsia="Times New Roman" w:hAnsi="Arial" w:cs="Arial"/>
                <w:color w:val="0070C0"/>
                <w:sz w:val="20"/>
                <w:szCs w:val="20"/>
                <w:lang w:val="en-GB" w:eastAsia="en-GB"/>
              </w:rPr>
              <w:t>+40%</w:t>
            </w:r>
          </w:p>
        </w:tc>
        <w:tc>
          <w:tcPr>
            <w:tcW w:w="1263" w:type="dxa"/>
            <w:tcBorders>
              <w:top w:val="single" w:sz="4" w:space="0" w:color="000000"/>
              <w:left w:val="single" w:sz="4" w:space="0" w:color="FFFFFF"/>
              <w:bottom w:val="single" w:sz="4" w:space="0" w:color="E7E6E6"/>
              <w:right w:val="single" w:sz="4" w:space="0" w:color="000000"/>
            </w:tcBorders>
            <w:shd w:val="clear" w:color="FFFFCC" w:fill="FFFFFF"/>
            <w:noWrap/>
            <w:vAlign w:val="center"/>
            <w:hideMark/>
          </w:tcPr>
          <w:p w14:paraId="57C34CEF" w14:textId="77777777" w:rsidR="0032041F" w:rsidRPr="001759E3" w:rsidRDefault="0032041F" w:rsidP="007C4FDE">
            <w:pPr>
              <w:spacing w:after="0" w:line="240" w:lineRule="auto"/>
              <w:jc w:val="center"/>
              <w:rPr>
                <w:rFonts w:ascii="Arial" w:eastAsia="Times New Roman" w:hAnsi="Arial" w:cs="Arial"/>
                <w:b/>
                <w:bCs/>
                <w:color w:val="757171"/>
                <w:sz w:val="20"/>
                <w:szCs w:val="20"/>
                <w:lang w:val="en-GB" w:eastAsia="en-GB"/>
              </w:rPr>
            </w:pPr>
            <w:r w:rsidRPr="001759E3">
              <w:rPr>
                <w:rFonts w:ascii="Arial" w:eastAsia="Times New Roman" w:hAnsi="Arial" w:cs="Arial"/>
                <w:b/>
                <w:bCs/>
                <w:color w:val="757171"/>
                <w:sz w:val="20"/>
                <w:szCs w:val="20"/>
                <w:lang w:val="en-GB" w:eastAsia="en-GB"/>
              </w:rPr>
              <w:t>n/a</w:t>
            </w:r>
          </w:p>
        </w:tc>
        <w:tc>
          <w:tcPr>
            <w:tcW w:w="1275" w:type="dxa"/>
            <w:tcBorders>
              <w:top w:val="single" w:sz="4" w:space="0" w:color="000000"/>
              <w:left w:val="single" w:sz="4" w:space="0" w:color="FFFFFF"/>
              <w:bottom w:val="single" w:sz="4" w:space="0" w:color="E7E6E6"/>
              <w:right w:val="single" w:sz="4" w:space="0" w:color="FFFFFF"/>
            </w:tcBorders>
            <w:shd w:val="clear" w:color="FFFFCC" w:fill="FFFFFF"/>
            <w:noWrap/>
            <w:vAlign w:val="center"/>
            <w:hideMark/>
          </w:tcPr>
          <w:p w14:paraId="7A6B4B3B" w14:textId="77777777" w:rsidR="0032041F" w:rsidRPr="001759E3" w:rsidRDefault="0032041F" w:rsidP="007C4FDE">
            <w:pPr>
              <w:spacing w:after="0" w:line="240" w:lineRule="auto"/>
              <w:jc w:val="center"/>
              <w:rPr>
                <w:rFonts w:ascii="Arial" w:eastAsia="Times New Roman" w:hAnsi="Arial" w:cs="Arial"/>
                <w:color w:val="C00000"/>
                <w:sz w:val="20"/>
                <w:szCs w:val="20"/>
                <w:lang w:val="en-GB" w:eastAsia="en-GB"/>
              </w:rPr>
            </w:pPr>
            <w:r w:rsidRPr="001759E3">
              <w:rPr>
                <w:rFonts w:ascii="Arial" w:eastAsia="Times New Roman" w:hAnsi="Arial" w:cs="Arial"/>
                <w:color w:val="C00000"/>
                <w:sz w:val="20"/>
                <w:szCs w:val="20"/>
                <w:lang w:val="en-GB" w:eastAsia="en-GB"/>
              </w:rPr>
              <w:t>-125</w:t>
            </w:r>
          </w:p>
        </w:tc>
        <w:tc>
          <w:tcPr>
            <w:tcW w:w="1751" w:type="dxa"/>
            <w:tcBorders>
              <w:top w:val="single" w:sz="4" w:space="0" w:color="000000"/>
              <w:left w:val="single" w:sz="4" w:space="0" w:color="FFFFFF"/>
              <w:bottom w:val="single" w:sz="4" w:space="0" w:color="E7E6E6"/>
              <w:right w:val="single" w:sz="4" w:space="0" w:color="FFFFFF"/>
            </w:tcBorders>
            <w:shd w:val="clear" w:color="FFFFCC" w:fill="FFFFFF"/>
            <w:noWrap/>
            <w:vAlign w:val="center"/>
            <w:hideMark/>
          </w:tcPr>
          <w:p w14:paraId="0132118C" w14:textId="77777777" w:rsidR="0032041F" w:rsidRPr="001759E3" w:rsidRDefault="0032041F" w:rsidP="007C4FDE">
            <w:pPr>
              <w:spacing w:after="0" w:line="240" w:lineRule="auto"/>
              <w:jc w:val="center"/>
              <w:rPr>
                <w:rFonts w:ascii="Arial" w:eastAsia="Times New Roman" w:hAnsi="Arial" w:cs="Arial"/>
                <w:color w:val="C00000"/>
                <w:sz w:val="20"/>
                <w:szCs w:val="20"/>
                <w:lang w:val="en-GB" w:eastAsia="en-GB"/>
              </w:rPr>
            </w:pPr>
            <w:r w:rsidRPr="001759E3">
              <w:rPr>
                <w:rFonts w:ascii="Arial" w:eastAsia="Times New Roman" w:hAnsi="Arial" w:cs="Arial"/>
                <w:color w:val="C00000"/>
                <w:sz w:val="20"/>
                <w:szCs w:val="20"/>
                <w:lang w:val="en-GB" w:eastAsia="en-GB"/>
              </w:rPr>
              <w:t>-43%</w:t>
            </w:r>
          </w:p>
        </w:tc>
        <w:tc>
          <w:tcPr>
            <w:tcW w:w="1147" w:type="dxa"/>
            <w:tcBorders>
              <w:top w:val="single" w:sz="4" w:space="0" w:color="000000"/>
              <w:left w:val="single" w:sz="4" w:space="0" w:color="FFFFFF"/>
              <w:bottom w:val="single" w:sz="4" w:space="0" w:color="E7E6E6"/>
              <w:right w:val="single" w:sz="4" w:space="0" w:color="FFFFFF"/>
            </w:tcBorders>
            <w:shd w:val="clear" w:color="FFFFCC" w:fill="FFFFFF"/>
            <w:noWrap/>
            <w:vAlign w:val="center"/>
            <w:hideMark/>
          </w:tcPr>
          <w:p w14:paraId="78D7C5C1" w14:textId="77777777" w:rsidR="0032041F" w:rsidRPr="001759E3" w:rsidRDefault="0032041F" w:rsidP="007C4FDE">
            <w:pPr>
              <w:spacing w:after="0" w:line="240" w:lineRule="auto"/>
              <w:jc w:val="center"/>
              <w:rPr>
                <w:rFonts w:ascii="Arial" w:eastAsia="Times New Roman" w:hAnsi="Arial" w:cs="Arial"/>
                <w:b/>
                <w:bCs/>
                <w:color w:val="757171"/>
                <w:sz w:val="20"/>
                <w:szCs w:val="20"/>
                <w:lang w:val="en-GB" w:eastAsia="en-GB"/>
              </w:rPr>
            </w:pPr>
            <w:r w:rsidRPr="001759E3">
              <w:rPr>
                <w:rFonts w:ascii="Arial" w:eastAsia="Times New Roman" w:hAnsi="Arial" w:cs="Arial"/>
                <w:b/>
                <w:bCs/>
                <w:color w:val="757171"/>
                <w:sz w:val="20"/>
                <w:szCs w:val="20"/>
                <w:lang w:val="en-GB" w:eastAsia="en-GB"/>
              </w:rPr>
              <w:t>n/a</w:t>
            </w:r>
          </w:p>
        </w:tc>
      </w:tr>
      <w:tr w:rsidR="0032041F" w:rsidRPr="001759E3" w14:paraId="43BA5247" w14:textId="77777777" w:rsidTr="007C4FDE">
        <w:trPr>
          <w:trHeight w:val="765"/>
        </w:trPr>
        <w:tc>
          <w:tcPr>
            <w:tcW w:w="1150" w:type="dxa"/>
            <w:tcBorders>
              <w:top w:val="single" w:sz="4" w:space="0" w:color="E7E6E6"/>
              <w:left w:val="single" w:sz="4" w:space="0" w:color="FFFFFF"/>
              <w:bottom w:val="single" w:sz="4" w:space="0" w:color="E7E6E6"/>
              <w:right w:val="single" w:sz="4" w:space="0" w:color="FFFFFF"/>
            </w:tcBorders>
            <w:shd w:val="clear" w:color="FFFFCC" w:fill="FFFFFF"/>
            <w:vAlign w:val="center"/>
            <w:hideMark/>
          </w:tcPr>
          <w:p w14:paraId="58312C6D" w14:textId="77777777" w:rsidR="0032041F" w:rsidRPr="001759E3" w:rsidRDefault="0032041F" w:rsidP="007C4FDE">
            <w:pPr>
              <w:spacing w:after="0" w:line="240" w:lineRule="auto"/>
              <w:jc w:val="center"/>
              <w:rPr>
                <w:rFonts w:ascii="Arial" w:eastAsia="Times New Roman" w:hAnsi="Arial" w:cs="Arial"/>
                <w:b/>
                <w:bCs/>
                <w:color w:val="000000"/>
                <w:sz w:val="20"/>
                <w:szCs w:val="20"/>
                <w:lang w:val="en-GB" w:eastAsia="en-GB"/>
              </w:rPr>
            </w:pPr>
            <w:r w:rsidRPr="001759E3">
              <w:rPr>
                <w:rFonts w:ascii="Arial" w:eastAsia="Times New Roman" w:hAnsi="Arial" w:cs="Arial"/>
                <w:b/>
                <w:bCs/>
                <w:color w:val="000000"/>
                <w:sz w:val="20"/>
                <w:szCs w:val="20"/>
                <w:lang w:val="en-GB" w:eastAsia="en-GB"/>
              </w:rPr>
              <w:t>England excluding London</w:t>
            </w:r>
          </w:p>
        </w:tc>
        <w:tc>
          <w:tcPr>
            <w:tcW w:w="1272" w:type="dxa"/>
            <w:tcBorders>
              <w:top w:val="single" w:sz="4" w:space="0" w:color="E7E6E6"/>
              <w:left w:val="single" w:sz="4" w:space="0" w:color="000000"/>
              <w:bottom w:val="single" w:sz="4" w:space="0" w:color="E7E6E6"/>
              <w:right w:val="single" w:sz="4" w:space="0" w:color="FFFFFF"/>
            </w:tcBorders>
            <w:shd w:val="clear" w:color="FFFFCC" w:fill="FFFFFF"/>
            <w:noWrap/>
            <w:vAlign w:val="center"/>
            <w:hideMark/>
          </w:tcPr>
          <w:p w14:paraId="718225F7" w14:textId="77777777" w:rsidR="0032041F" w:rsidRPr="001759E3" w:rsidRDefault="0032041F" w:rsidP="007C4FDE">
            <w:pPr>
              <w:spacing w:after="0" w:line="240" w:lineRule="auto"/>
              <w:jc w:val="center"/>
              <w:rPr>
                <w:rFonts w:ascii="Arial" w:eastAsia="Times New Roman" w:hAnsi="Arial" w:cs="Arial"/>
                <w:color w:val="000000"/>
                <w:sz w:val="20"/>
                <w:szCs w:val="20"/>
                <w:lang w:val="en-GB" w:eastAsia="en-GB"/>
              </w:rPr>
            </w:pPr>
            <w:r w:rsidRPr="001759E3">
              <w:rPr>
                <w:rFonts w:ascii="Arial" w:eastAsia="Times New Roman" w:hAnsi="Arial" w:cs="Arial"/>
                <w:color w:val="000000"/>
                <w:sz w:val="20"/>
                <w:szCs w:val="20"/>
                <w:lang w:val="en-GB" w:eastAsia="en-GB"/>
              </w:rPr>
              <w:t>n/a</w:t>
            </w:r>
          </w:p>
        </w:tc>
        <w:tc>
          <w:tcPr>
            <w:tcW w:w="1272" w:type="dxa"/>
            <w:tcBorders>
              <w:top w:val="single" w:sz="4" w:space="0" w:color="E7E6E6"/>
              <w:left w:val="single" w:sz="4" w:space="0" w:color="FFFFFF"/>
              <w:bottom w:val="single" w:sz="4" w:space="0" w:color="E7E6E6"/>
              <w:right w:val="single" w:sz="4" w:space="0" w:color="FFFFFF"/>
            </w:tcBorders>
            <w:shd w:val="clear" w:color="FFFFCC" w:fill="FFFFFF"/>
            <w:noWrap/>
            <w:vAlign w:val="center"/>
            <w:hideMark/>
          </w:tcPr>
          <w:p w14:paraId="28F762CD" w14:textId="77777777" w:rsidR="0032041F" w:rsidRPr="001759E3" w:rsidRDefault="0032041F" w:rsidP="007C4FDE">
            <w:pPr>
              <w:spacing w:after="0" w:line="240" w:lineRule="auto"/>
              <w:jc w:val="center"/>
              <w:rPr>
                <w:rFonts w:ascii="Arial" w:eastAsia="Times New Roman" w:hAnsi="Arial" w:cs="Arial"/>
                <w:color w:val="000000"/>
                <w:sz w:val="20"/>
                <w:szCs w:val="20"/>
                <w:lang w:val="en-GB" w:eastAsia="en-GB"/>
              </w:rPr>
            </w:pPr>
            <w:r w:rsidRPr="001759E3">
              <w:rPr>
                <w:rFonts w:ascii="Arial" w:eastAsia="Times New Roman" w:hAnsi="Arial" w:cs="Arial"/>
                <w:color w:val="000000"/>
                <w:sz w:val="20"/>
                <w:szCs w:val="20"/>
                <w:lang w:val="en-GB" w:eastAsia="en-GB"/>
              </w:rPr>
              <w:t>n/a</w:t>
            </w:r>
          </w:p>
        </w:tc>
        <w:tc>
          <w:tcPr>
            <w:tcW w:w="1263" w:type="dxa"/>
            <w:tcBorders>
              <w:top w:val="single" w:sz="4" w:space="0" w:color="E7E6E6"/>
              <w:left w:val="single" w:sz="4" w:space="0" w:color="FFFFFF"/>
              <w:bottom w:val="single" w:sz="4" w:space="0" w:color="E7E6E6"/>
              <w:right w:val="single" w:sz="4" w:space="0" w:color="000000"/>
            </w:tcBorders>
            <w:shd w:val="clear" w:color="FFFFCC" w:fill="FFFFFF"/>
            <w:noWrap/>
            <w:vAlign w:val="center"/>
            <w:hideMark/>
          </w:tcPr>
          <w:p w14:paraId="359625DE" w14:textId="77777777" w:rsidR="0032041F" w:rsidRPr="001759E3" w:rsidRDefault="0032041F" w:rsidP="007C4FDE">
            <w:pPr>
              <w:spacing w:after="0" w:line="240" w:lineRule="auto"/>
              <w:jc w:val="center"/>
              <w:rPr>
                <w:rFonts w:ascii="Arial" w:eastAsia="Times New Roman" w:hAnsi="Arial" w:cs="Arial"/>
                <w:color w:val="000000"/>
                <w:sz w:val="20"/>
                <w:szCs w:val="20"/>
                <w:lang w:val="en-GB" w:eastAsia="en-GB"/>
              </w:rPr>
            </w:pPr>
            <w:r w:rsidRPr="001759E3">
              <w:rPr>
                <w:rFonts w:ascii="Arial" w:eastAsia="Times New Roman" w:hAnsi="Arial" w:cs="Arial"/>
                <w:color w:val="000000"/>
                <w:sz w:val="20"/>
                <w:szCs w:val="20"/>
                <w:lang w:val="en-GB" w:eastAsia="en-GB"/>
              </w:rPr>
              <w:t>+5.0</w:t>
            </w:r>
          </w:p>
        </w:tc>
        <w:tc>
          <w:tcPr>
            <w:tcW w:w="1275" w:type="dxa"/>
            <w:tcBorders>
              <w:top w:val="single" w:sz="4" w:space="0" w:color="E7E6E6"/>
              <w:left w:val="single" w:sz="4" w:space="0" w:color="FFFFFF"/>
              <w:bottom w:val="single" w:sz="4" w:space="0" w:color="E7E6E6"/>
              <w:right w:val="single" w:sz="4" w:space="0" w:color="FFFFFF"/>
            </w:tcBorders>
            <w:shd w:val="clear" w:color="FFFFCC" w:fill="FFFFFF"/>
            <w:noWrap/>
            <w:vAlign w:val="center"/>
            <w:hideMark/>
          </w:tcPr>
          <w:p w14:paraId="5C3795DB" w14:textId="77777777" w:rsidR="0032041F" w:rsidRPr="001759E3" w:rsidRDefault="0032041F" w:rsidP="007C4FDE">
            <w:pPr>
              <w:spacing w:after="0" w:line="240" w:lineRule="auto"/>
              <w:jc w:val="center"/>
              <w:rPr>
                <w:rFonts w:ascii="Arial" w:eastAsia="Times New Roman" w:hAnsi="Arial" w:cs="Arial"/>
                <w:color w:val="000000"/>
                <w:sz w:val="20"/>
                <w:szCs w:val="20"/>
                <w:lang w:val="en-GB" w:eastAsia="en-GB"/>
              </w:rPr>
            </w:pPr>
            <w:r w:rsidRPr="001759E3">
              <w:rPr>
                <w:rFonts w:ascii="Arial" w:eastAsia="Times New Roman" w:hAnsi="Arial" w:cs="Arial"/>
                <w:color w:val="000000"/>
                <w:sz w:val="20"/>
                <w:szCs w:val="20"/>
                <w:lang w:val="en-GB" w:eastAsia="en-GB"/>
              </w:rPr>
              <w:t>n/a</w:t>
            </w:r>
          </w:p>
        </w:tc>
        <w:tc>
          <w:tcPr>
            <w:tcW w:w="1751" w:type="dxa"/>
            <w:tcBorders>
              <w:top w:val="single" w:sz="4" w:space="0" w:color="E7E6E6"/>
              <w:left w:val="single" w:sz="4" w:space="0" w:color="FFFFFF"/>
              <w:bottom w:val="single" w:sz="4" w:space="0" w:color="E7E6E6"/>
              <w:right w:val="single" w:sz="4" w:space="0" w:color="FFFFFF"/>
            </w:tcBorders>
            <w:shd w:val="clear" w:color="FFFFCC" w:fill="FFFFFF"/>
            <w:noWrap/>
            <w:vAlign w:val="center"/>
            <w:hideMark/>
          </w:tcPr>
          <w:p w14:paraId="5B7CD517" w14:textId="77777777" w:rsidR="0032041F" w:rsidRPr="001759E3" w:rsidRDefault="0032041F" w:rsidP="007C4FDE">
            <w:pPr>
              <w:spacing w:after="0" w:line="240" w:lineRule="auto"/>
              <w:jc w:val="center"/>
              <w:rPr>
                <w:rFonts w:ascii="Arial" w:eastAsia="Times New Roman" w:hAnsi="Arial" w:cs="Arial"/>
                <w:color w:val="000000"/>
                <w:sz w:val="20"/>
                <w:szCs w:val="20"/>
                <w:lang w:val="en-GB" w:eastAsia="en-GB"/>
              </w:rPr>
            </w:pPr>
            <w:r w:rsidRPr="001759E3">
              <w:rPr>
                <w:rFonts w:ascii="Arial" w:eastAsia="Times New Roman" w:hAnsi="Arial" w:cs="Arial"/>
                <w:color w:val="000000"/>
                <w:sz w:val="20"/>
                <w:szCs w:val="20"/>
                <w:lang w:val="en-GB" w:eastAsia="en-GB"/>
              </w:rPr>
              <w:t>n/a</w:t>
            </w:r>
          </w:p>
        </w:tc>
        <w:tc>
          <w:tcPr>
            <w:tcW w:w="1147" w:type="dxa"/>
            <w:tcBorders>
              <w:top w:val="nil"/>
              <w:left w:val="nil"/>
              <w:bottom w:val="single" w:sz="4" w:space="0" w:color="E7E6E6"/>
              <w:right w:val="single" w:sz="4" w:space="0" w:color="FFFFFF"/>
            </w:tcBorders>
            <w:shd w:val="clear" w:color="FFFFCC" w:fill="FFFFFF"/>
            <w:noWrap/>
            <w:vAlign w:val="center"/>
            <w:hideMark/>
          </w:tcPr>
          <w:p w14:paraId="5F07A7B9" w14:textId="77777777" w:rsidR="0032041F" w:rsidRPr="001759E3" w:rsidRDefault="0032041F" w:rsidP="007C4FDE">
            <w:pPr>
              <w:spacing w:after="0" w:line="240" w:lineRule="auto"/>
              <w:jc w:val="center"/>
              <w:rPr>
                <w:rFonts w:ascii="Arial" w:eastAsia="Times New Roman" w:hAnsi="Arial" w:cs="Arial"/>
                <w:color w:val="000000"/>
                <w:sz w:val="20"/>
                <w:szCs w:val="20"/>
                <w:lang w:val="en-GB" w:eastAsia="en-GB"/>
              </w:rPr>
            </w:pPr>
            <w:r w:rsidRPr="001759E3">
              <w:rPr>
                <w:rFonts w:ascii="Arial" w:eastAsia="Times New Roman" w:hAnsi="Arial" w:cs="Arial"/>
                <w:color w:val="C00000"/>
                <w:sz w:val="20"/>
                <w:szCs w:val="20"/>
                <w:lang w:val="en-GB" w:eastAsia="en-GB"/>
              </w:rPr>
              <w:t>-3.7</w:t>
            </w:r>
          </w:p>
        </w:tc>
      </w:tr>
      <w:tr w:rsidR="0032041F" w:rsidRPr="001759E3" w14:paraId="62AC4762" w14:textId="77777777" w:rsidTr="007C4FDE">
        <w:trPr>
          <w:trHeight w:val="255"/>
        </w:trPr>
        <w:tc>
          <w:tcPr>
            <w:tcW w:w="1150" w:type="dxa"/>
            <w:tcBorders>
              <w:top w:val="single" w:sz="4" w:space="0" w:color="E7E6E6"/>
              <w:left w:val="single" w:sz="4" w:space="0" w:color="FFFFFF"/>
              <w:bottom w:val="single" w:sz="4" w:space="0" w:color="E7E6E6"/>
              <w:right w:val="single" w:sz="4" w:space="0" w:color="FFFFFF"/>
            </w:tcBorders>
            <w:shd w:val="clear" w:color="FFFFCC" w:fill="FFFFFF"/>
            <w:vAlign w:val="center"/>
            <w:hideMark/>
          </w:tcPr>
          <w:p w14:paraId="5DF3411D" w14:textId="77777777" w:rsidR="0032041F" w:rsidRPr="001759E3" w:rsidRDefault="0032041F" w:rsidP="007C4FDE">
            <w:pPr>
              <w:spacing w:after="0" w:line="240" w:lineRule="auto"/>
              <w:jc w:val="center"/>
              <w:rPr>
                <w:rFonts w:ascii="Arial" w:eastAsia="Times New Roman" w:hAnsi="Arial" w:cs="Arial"/>
                <w:b/>
                <w:bCs/>
                <w:color w:val="000000"/>
                <w:sz w:val="20"/>
                <w:szCs w:val="20"/>
                <w:lang w:val="en-GB" w:eastAsia="en-GB"/>
              </w:rPr>
            </w:pPr>
            <w:r w:rsidRPr="001759E3">
              <w:rPr>
                <w:rFonts w:ascii="Arial" w:eastAsia="Times New Roman" w:hAnsi="Arial" w:cs="Arial"/>
                <w:b/>
                <w:bCs/>
                <w:color w:val="000000"/>
                <w:sz w:val="20"/>
                <w:szCs w:val="20"/>
                <w:lang w:val="en-GB" w:eastAsia="en-GB"/>
              </w:rPr>
              <w:t>Wales</w:t>
            </w:r>
          </w:p>
        </w:tc>
        <w:tc>
          <w:tcPr>
            <w:tcW w:w="1272" w:type="dxa"/>
            <w:tcBorders>
              <w:top w:val="single" w:sz="4" w:space="0" w:color="E7E6E6"/>
              <w:left w:val="single" w:sz="4" w:space="0" w:color="000000"/>
              <w:bottom w:val="single" w:sz="4" w:space="0" w:color="E7E6E6"/>
              <w:right w:val="single" w:sz="4" w:space="0" w:color="FFFFFF"/>
            </w:tcBorders>
            <w:shd w:val="clear" w:color="FFFFCC" w:fill="FFFFFF"/>
            <w:noWrap/>
            <w:vAlign w:val="center"/>
            <w:hideMark/>
          </w:tcPr>
          <w:p w14:paraId="5815CEC6" w14:textId="77777777" w:rsidR="0032041F" w:rsidRPr="001759E3" w:rsidRDefault="0032041F" w:rsidP="007C4FDE">
            <w:pPr>
              <w:spacing w:after="0" w:line="240" w:lineRule="auto"/>
              <w:jc w:val="center"/>
              <w:rPr>
                <w:rFonts w:ascii="Arial" w:eastAsia="Times New Roman" w:hAnsi="Arial" w:cs="Arial"/>
                <w:color w:val="0070C0"/>
                <w:sz w:val="20"/>
                <w:szCs w:val="20"/>
                <w:lang w:val="en-GB" w:eastAsia="en-GB"/>
              </w:rPr>
            </w:pPr>
            <w:r w:rsidRPr="001759E3">
              <w:rPr>
                <w:rFonts w:ascii="Arial" w:eastAsia="Times New Roman" w:hAnsi="Arial" w:cs="Arial"/>
                <w:color w:val="0070C0"/>
                <w:sz w:val="20"/>
                <w:szCs w:val="20"/>
                <w:lang w:val="en-GB" w:eastAsia="en-GB"/>
              </w:rPr>
              <w:t>+9</w:t>
            </w:r>
          </w:p>
        </w:tc>
        <w:tc>
          <w:tcPr>
            <w:tcW w:w="1272" w:type="dxa"/>
            <w:tcBorders>
              <w:top w:val="single" w:sz="4" w:space="0" w:color="E7E6E6"/>
              <w:left w:val="single" w:sz="4" w:space="0" w:color="FFFFFF"/>
              <w:bottom w:val="single" w:sz="4" w:space="0" w:color="E7E6E6"/>
              <w:right w:val="single" w:sz="4" w:space="0" w:color="FFFFFF"/>
            </w:tcBorders>
            <w:shd w:val="clear" w:color="FFFFCC" w:fill="FFFFFF"/>
            <w:noWrap/>
            <w:vAlign w:val="center"/>
            <w:hideMark/>
          </w:tcPr>
          <w:p w14:paraId="57AA6895" w14:textId="77777777" w:rsidR="0032041F" w:rsidRPr="001759E3" w:rsidRDefault="0032041F" w:rsidP="007C4FDE">
            <w:pPr>
              <w:spacing w:after="0" w:line="240" w:lineRule="auto"/>
              <w:jc w:val="center"/>
              <w:rPr>
                <w:rFonts w:ascii="Arial" w:eastAsia="Times New Roman" w:hAnsi="Arial" w:cs="Arial"/>
                <w:color w:val="0070C0"/>
                <w:sz w:val="20"/>
                <w:szCs w:val="20"/>
                <w:lang w:val="en-GB" w:eastAsia="en-GB"/>
              </w:rPr>
            </w:pPr>
            <w:r w:rsidRPr="001759E3">
              <w:rPr>
                <w:rFonts w:ascii="Arial" w:eastAsia="Times New Roman" w:hAnsi="Arial" w:cs="Arial"/>
                <w:color w:val="0070C0"/>
                <w:sz w:val="20"/>
                <w:szCs w:val="20"/>
                <w:lang w:val="en-GB" w:eastAsia="en-GB"/>
              </w:rPr>
              <w:t>+41%</w:t>
            </w:r>
          </w:p>
        </w:tc>
        <w:tc>
          <w:tcPr>
            <w:tcW w:w="1263" w:type="dxa"/>
            <w:tcBorders>
              <w:top w:val="single" w:sz="4" w:space="0" w:color="E7E6E6"/>
              <w:left w:val="single" w:sz="4" w:space="0" w:color="FFFFFF"/>
              <w:bottom w:val="single" w:sz="4" w:space="0" w:color="E7E6E6"/>
              <w:right w:val="single" w:sz="4" w:space="0" w:color="000000"/>
            </w:tcBorders>
            <w:shd w:val="clear" w:color="FFFFCC" w:fill="FFFFFF"/>
            <w:noWrap/>
            <w:vAlign w:val="center"/>
            <w:hideMark/>
          </w:tcPr>
          <w:p w14:paraId="3F7AF020" w14:textId="77777777" w:rsidR="0032041F" w:rsidRPr="001759E3" w:rsidRDefault="0032041F" w:rsidP="007C4FDE">
            <w:pPr>
              <w:spacing w:after="0" w:line="240" w:lineRule="auto"/>
              <w:jc w:val="center"/>
              <w:rPr>
                <w:rFonts w:ascii="Arial" w:eastAsia="Times New Roman" w:hAnsi="Arial" w:cs="Arial"/>
                <w:color w:val="0070C0"/>
                <w:sz w:val="20"/>
                <w:szCs w:val="20"/>
                <w:lang w:val="en-GB" w:eastAsia="en-GB"/>
              </w:rPr>
            </w:pPr>
            <w:r w:rsidRPr="001759E3">
              <w:rPr>
                <w:rFonts w:ascii="Arial" w:eastAsia="Times New Roman" w:hAnsi="Arial" w:cs="Arial"/>
                <w:color w:val="0070C0"/>
                <w:sz w:val="20"/>
                <w:szCs w:val="20"/>
                <w:lang w:val="en-GB" w:eastAsia="en-GB"/>
              </w:rPr>
              <w:t>+3.7</w:t>
            </w:r>
          </w:p>
        </w:tc>
        <w:tc>
          <w:tcPr>
            <w:tcW w:w="1275" w:type="dxa"/>
            <w:tcBorders>
              <w:top w:val="single" w:sz="4" w:space="0" w:color="E7E6E6"/>
              <w:left w:val="single" w:sz="4" w:space="0" w:color="FFFFFF"/>
              <w:bottom w:val="single" w:sz="4" w:space="0" w:color="E7E6E6"/>
              <w:right w:val="single" w:sz="4" w:space="0" w:color="FFFFFF"/>
            </w:tcBorders>
            <w:shd w:val="clear" w:color="FFFFCC" w:fill="FFFFFF"/>
            <w:noWrap/>
            <w:vAlign w:val="center"/>
            <w:hideMark/>
          </w:tcPr>
          <w:p w14:paraId="6A5AC6DA" w14:textId="77777777" w:rsidR="0032041F" w:rsidRPr="001759E3" w:rsidRDefault="0032041F" w:rsidP="007C4FDE">
            <w:pPr>
              <w:spacing w:after="0" w:line="240" w:lineRule="auto"/>
              <w:jc w:val="center"/>
              <w:rPr>
                <w:rFonts w:ascii="Arial" w:eastAsia="Times New Roman" w:hAnsi="Arial" w:cs="Arial"/>
                <w:color w:val="C00000"/>
                <w:sz w:val="20"/>
                <w:szCs w:val="20"/>
                <w:lang w:val="en-GB" w:eastAsia="en-GB"/>
              </w:rPr>
            </w:pPr>
            <w:r w:rsidRPr="001759E3">
              <w:rPr>
                <w:rFonts w:ascii="Arial" w:eastAsia="Times New Roman" w:hAnsi="Arial" w:cs="Arial"/>
                <w:color w:val="C00000"/>
                <w:sz w:val="20"/>
                <w:szCs w:val="20"/>
                <w:lang w:val="en-GB" w:eastAsia="en-GB"/>
              </w:rPr>
              <w:t>-11</w:t>
            </w:r>
          </w:p>
        </w:tc>
        <w:tc>
          <w:tcPr>
            <w:tcW w:w="1751" w:type="dxa"/>
            <w:tcBorders>
              <w:top w:val="single" w:sz="4" w:space="0" w:color="E7E6E6"/>
              <w:left w:val="single" w:sz="4" w:space="0" w:color="FFFFFF"/>
              <w:bottom w:val="single" w:sz="4" w:space="0" w:color="E7E6E6"/>
              <w:right w:val="single" w:sz="4" w:space="0" w:color="FFFFFF"/>
            </w:tcBorders>
            <w:shd w:val="clear" w:color="FFFFCC" w:fill="FFFFFF"/>
            <w:noWrap/>
            <w:vAlign w:val="center"/>
            <w:hideMark/>
          </w:tcPr>
          <w:p w14:paraId="378B811F" w14:textId="77777777" w:rsidR="0032041F" w:rsidRPr="001759E3" w:rsidRDefault="0032041F" w:rsidP="007C4FDE">
            <w:pPr>
              <w:spacing w:after="0" w:line="240" w:lineRule="auto"/>
              <w:jc w:val="center"/>
              <w:rPr>
                <w:rFonts w:ascii="Arial" w:eastAsia="Times New Roman" w:hAnsi="Arial" w:cs="Arial"/>
                <w:color w:val="C00000"/>
                <w:sz w:val="20"/>
                <w:szCs w:val="20"/>
                <w:lang w:val="en-GB" w:eastAsia="en-GB"/>
              </w:rPr>
            </w:pPr>
            <w:r w:rsidRPr="001759E3">
              <w:rPr>
                <w:rFonts w:ascii="Arial" w:eastAsia="Times New Roman" w:hAnsi="Arial" w:cs="Arial"/>
                <w:color w:val="C00000"/>
                <w:sz w:val="20"/>
                <w:szCs w:val="20"/>
                <w:lang w:val="en-GB" w:eastAsia="en-GB"/>
              </w:rPr>
              <w:t>-50%</w:t>
            </w:r>
          </w:p>
        </w:tc>
        <w:tc>
          <w:tcPr>
            <w:tcW w:w="1147" w:type="dxa"/>
            <w:tcBorders>
              <w:top w:val="nil"/>
              <w:left w:val="nil"/>
              <w:bottom w:val="single" w:sz="4" w:space="0" w:color="E7E6E6"/>
              <w:right w:val="single" w:sz="4" w:space="0" w:color="FFFFFF"/>
            </w:tcBorders>
            <w:shd w:val="clear" w:color="FFFFCC" w:fill="FFFFFF"/>
            <w:noWrap/>
            <w:vAlign w:val="center"/>
            <w:hideMark/>
          </w:tcPr>
          <w:p w14:paraId="7DE559A0" w14:textId="77777777" w:rsidR="0032041F" w:rsidRPr="001759E3" w:rsidRDefault="0032041F" w:rsidP="007C4FDE">
            <w:pPr>
              <w:spacing w:after="0" w:line="240" w:lineRule="auto"/>
              <w:jc w:val="center"/>
              <w:rPr>
                <w:rFonts w:ascii="Arial" w:eastAsia="Times New Roman" w:hAnsi="Arial" w:cs="Arial"/>
                <w:color w:val="000000"/>
                <w:sz w:val="20"/>
                <w:szCs w:val="20"/>
                <w:lang w:val="en-GB" w:eastAsia="en-GB"/>
              </w:rPr>
            </w:pPr>
            <w:r w:rsidRPr="001759E3">
              <w:rPr>
                <w:rFonts w:ascii="Arial" w:eastAsia="Times New Roman" w:hAnsi="Arial" w:cs="Arial"/>
                <w:color w:val="C00000"/>
                <w:sz w:val="20"/>
                <w:szCs w:val="20"/>
                <w:lang w:val="en-GB" w:eastAsia="en-GB"/>
              </w:rPr>
              <w:t>-3.5</w:t>
            </w:r>
          </w:p>
        </w:tc>
      </w:tr>
      <w:tr w:rsidR="0032041F" w:rsidRPr="001759E3" w14:paraId="54240E9B" w14:textId="77777777" w:rsidTr="007C4FDE">
        <w:trPr>
          <w:trHeight w:val="510"/>
        </w:trPr>
        <w:tc>
          <w:tcPr>
            <w:tcW w:w="1150" w:type="dxa"/>
            <w:tcBorders>
              <w:top w:val="single" w:sz="4" w:space="0" w:color="E7E6E6"/>
              <w:left w:val="single" w:sz="4" w:space="0" w:color="FFFFFF"/>
              <w:bottom w:val="single" w:sz="4" w:space="0" w:color="E7E6E6"/>
              <w:right w:val="single" w:sz="4" w:space="0" w:color="FFFFFF"/>
            </w:tcBorders>
            <w:shd w:val="clear" w:color="FFFFCC" w:fill="FFFFFF"/>
            <w:vAlign w:val="center"/>
            <w:hideMark/>
          </w:tcPr>
          <w:p w14:paraId="063B68FA" w14:textId="77777777" w:rsidR="0032041F" w:rsidRPr="001759E3" w:rsidRDefault="0032041F" w:rsidP="007C4FDE">
            <w:pPr>
              <w:spacing w:after="0" w:line="240" w:lineRule="auto"/>
              <w:jc w:val="center"/>
              <w:rPr>
                <w:rFonts w:ascii="Arial" w:eastAsia="Times New Roman" w:hAnsi="Arial" w:cs="Arial"/>
                <w:b/>
                <w:bCs/>
                <w:color w:val="000000"/>
                <w:sz w:val="20"/>
                <w:szCs w:val="20"/>
                <w:lang w:val="en-GB" w:eastAsia="en-GB"/>
              </w:rPr>
            </w:pPr>
            <w:r w:rsidRPr="001759E3">
              <w:rPr>
                <w:rFonts w:ascii="Arial" w:eastAsia="Times New Roman" w:hAnsi="Arial" w:cs="Arial"/>
                <w:b/>
                <w:bCs/>
                <w:color w:val="000000"/>
                <w:sz w:val="20"/>
                <w:szCs w:val="20"/>
                <w:lang w:val="en-GB" w:eastAsia="en-GB"/>
              </w:rPr>
              <w:t>England + Wales</w:t>
            </w:r>
          </w:p>
        </w:tc>
        <w:tc>
          <w:tcPr>
            <w:tcW w:w="1272" w:type="dxa"/>
            <w:tcBorders>
              <w:top w:val="single" w:sz="4" w:space="0" w:color="E7E6E6"/>
              <w:left w:val="single" w:sz="4" w:space="0" w:color="000000"/>
              <w:bottom w:val="single" w:sz="4" w:space="0" w:color="E7E6E6"/>
              <w:right w:val="single" w:sz="4" w:space="0" w:color="FFFFFF"/>
            </w:tcBorders>
            <w:shd w:val="clear" w:color="FFFFCC" w:fill="FFFFFF"/>
            <w:noWrap/>
            <w:vAlign w:val="center"/>
            <w:hideMark/>
          </w:tcPr>
          <w:p w14:paraId="3036E14A" w14:textId="77777777" w:rsidR="0032041F" w:rsidRPr="001759E3" w:rsidRDefault="0032041F" w:rsidP="007C4FDE">
            <w:pPr>
              <w:spacing w:after="0" w:line="240" w:lineRule="auto"/>
              <w:jc w:val="center"/>
              <w:rPr>
                <w:rFonts w:ascii="Arial" w:eastAsia="Times New Roman" w:hAnsi="Arial" w:cs="Arial"/>
                <w:color w:val="0070C0"/>
                <w:sz w:val="20"/>
                <w:szCs w:val="20"/>
                <w:lang w:val="en-GB" w:eastAsia="en-GB"/>
              </w:rPr>
            </w:pPr>
            <w:r w:rsidRPr="001759E3">
              <w:rPr>
                <w:rFonts w:ascii="Arial" w:eastAsia="Times New Roman" w:hAnsi="Arial" w:cs="Arial"/>
                <w:color w:val="0070C0"/>
                <w:sz w:val="20"/>
                <w:szCs w:val="20"/>
                <w:lang w:val="en-GB" w:eastAsia="en-GB"/>
              </w:rPr>
              <w:t>+124</w:t>
            </w:r>
          </w:p>
        </w:tc>
        <w:tc>
          <w:tcPr>
            <w:tcW w:w="1272" w:type="dxa"/>
            <w:tcBorders>
              <w:top w:val="single" w:sz="4" w:space="0" w:color="E7E6E6"/>
              <w:left w:val="single" w:sz="4" w:space="0" w:color="FFFFFF"/>
              <w:bottom w:val="single" w:sz="4" w:space="0" w:color="E7E6E6"/>
              <w:right w:val="single" w:sz="4" w:space="0" w:color="FFFFFF"/>
            </w:tcBorders>
            <w:shd w:val="clear" w:color="FFFFCC" w:fill="FFFFFF"/>
            <w:noWrap/>
            <w:vAlign w:val="center"/>
            <w:hideMark/>
          </w:tcPr>
          <w:p w14:paraId="446D9CA3" w14:textId="77777777" w:rsidR="0032041F" w:rsidRPr="001759E3" w:rsidRDefault="0032041F" w:rsidP="007C4FDE">
            <w:pPr>
              <w:spacing w:after="0" w:line="240" w:lineRule="auto"/>
              <w:jc w:val="center"/>
              <w:rPr>
                <w:rFonts w:ascii="Arial" w:eastAsia="Times New Roman" w:hAnsi="Arial" w:cs="Arial"/>
                <w:color w:val="0070C0"/>
                <w:sz w:val="20"/>
                <w:szCs w:val="20"/>
                <w:lang w:val="en-GB" w:eastAsia="en-GB"/>
              </w:rPr>
            </w:pPr>
            <w:r w:rsidRPr="001759E3">
              <w:rPr>
                <w:rFonts w:ascii="Arial" w:eastAsia="Times New Roman" w:hAnsi="Arial" w:cs="Arial"/>
                <w:color w:val="0070C0"/>
                <w:sz w:val="20"/>
                <w:szCs w:val="20"/>
                <w:lang w:val="en-GB" w:eastAsia="en-GB"/>
              </w:rPr>
              <w:t>+40%</w:t>
            </w:r>
          </w:p>
        </w:tc>
        <w:tc>
          <w:tcPr>
            <w:tcW w:w="1263" w:type="dxa"/>
            <w:tcBorders>
              <w:top w:val="single" w:sz="4" w:space="0" w:color="E7E6E6"/>
              <w:left w:val="single" w:sz="4" w:space="0" w:color="FFFFFF"/>
              <w:bottom w:val="single" w:sz="4" w:space="0" w:color="E7E6E6"/>
              <w:right w:val="single" w:sz="4" w:space="0" w:color="000000"/>
            </w:tcBorders>
            <w:shd w:val="clear" w:color="FFFFCC" w:fill="FFFFFF"/>
            <w:noWrap/>
            <w:vAlign w:val="center"/>
            <w:hideMark/>
          </w:tcPr>
          <w:p w14:paraId="3C1F015E" w14:textId="77777777" w:rsidR="0032041F" w:rsidRPr="001759E3" w:rsidRDefault="0032041F" w:rsidP="007C4FDE">
            <w:pPr>
              <w:spacing w:after="0" w:line="240" w:lineRule="auto"/>
              <w:jc w:val="center"/>
              <w:rPr>
                <w:rFonts w:ascii="Arial" w:eastAsia="Times New Roman" w:hAnsi="Arial" w:cs="Arial"/>
                <w:color w:val="0070C0"/>
                <w:sz w:val="20"/>
                <w:szCs w:val="20"/>
                <w:lang w:val="en-GB" w:eastAsia="en-GB"/>
              </w:rPr>
            </w:pPr>
            <w:r w:rsidRPr="001759E3">
              <w:rPr>
                <w:rFonts w:ascii="Arial" w:eastAsia="Times New Roman" w:hAnsi="Arial" w:cs="Arial"/>
                <w:color w:val="0070C0"/>
                <w:sz w:val="20"/>
                <w:szCs w:val="20"/>
                <w:lang w:val="en-GB" w:eastAsia="en-GB"/>
              </w:rPr>
              <w:t>+4.9</w:t>
            </w:r>
          </w:p>
        </w:tc>
        <w:tc>
          <w:tcPr>
            <w:tcW w:w="1275" w:type="dxa"/>
            <w:tcBorders>
              <w:top w:val="single" w:sz="4" w:space="0" w:color="E7E6E6"/>
              <w:left w:val="single" w:sz="4" w:space="0" w:color="FFFFFF"/>
              <w:bottom w:val="single" w:sz="4" w:space="0" w:color="E7E6E6"/>
              <w:right w:val="single" w:sz="4" w:space="0" w:color="FFFFFF"/>
            </w:tcBorders>
            <w:shd w:val="clear" w:color="FFFFCC" w:fill="FFFFFF"/>
            <w:noWrap/>
            <w:vAlign w:val="center"/>
            <w:hideMark/>
          </w:tcPr>
          <w:p w14:paraId="0C84390F" w14:textId="77777777" w:rsidR="0032041F" w:rsidRPr="001759E3" w:rsidRDefault="0032041F" w:rsidP="007C4FDE">
            <w:pPr>
              <w:spacing w:after="0" w:line="240" w:lineRule="auto"/>
              <w:jc w:val="center"/>
              <w:rPr>
                <w:rFonts w:ascii="Arial" w:eastAsia="Times New Roman" w:hAnsi="Arial" w:cs="Arial"/>
                <w:color w:val="C00000"/>
                <w:sz w:val="20"/>
                <w:szCs w:val="20"/>
                <w:lang w:val="en-GB" w:eastAsia="en-GB"/>
              </w:rPr>
            </w:pPr>
            <w:r w:rsidRPr="001759E3">
              <w:rPr>
                <w:rFonts w:ascii="Arial" w:eastAsia="Times New Roman" w:hAnsi="Arial" w:cs="Arial"/>
                <w:color w:val="C00000"/>
                <w:sz w:val="20"/>
                <w:szCs w:val="20"/>
                <w:lang w:val="en-GB" w:eastAsia="en-GB"/>
              </w:rPr>
              <w:t>-136</w:t>
            </w:r>
          </w:p>
        </w:tc>
        <w:tc>
          <w:tcPr>
            <w:tcW w:w="1751" w:type="dxa"/>
            <w:tcBorders>
              <w:top w:val="single" w:sz="4" w:space="0" w:color="E7E6E6"/>
              <w:left w:val="single" w:sz="4" w:space="0" w:color="FFFFFF"/>
              <w:bottom w:val="single" w:sz="4" w:space="0" w:color="E7E6E6"/>
              <w:right w:val="single" w:sz="4" w:space="0" w:color="FFFFFF"/>
            </w:tcBorders>
            <w:shd w:val="clear" w:color="FFFFCC" w:fill="FFFFFF"/>
            <w:noWrap/>
            <w:vAlign w:val="center"/>
            <w:hideMark/>
          </w:tcPr>
          <w:p w14:paraId="478DB9FC" w14:textId="77777777" w:rsidR="0032041F" w:rsidRPr="001759E3" w:rsidRDefault="0032041F" w:rsidP="007C4FDE">
            <w:pPr>
              <w:spacing w:after="0" w:line="240" w:lineRule="auto"/>
              <w:jc w:val="center"/>
              <w:rPr>
                <w:rFonts w:ascii="Arial" w:eastAsia="Times New Roman" w:hAnsi="Arial" w:cs="Arial"/>
                <w:color w:val="C00000"/>
                <w:sz w:val="20"/>
                <w:szCs w:val="20"/>
                <w:lang w:val="en-GB" w:eastAsia="en-GB"/>
              </w:rPr>
            </w:pPr>
            <w:r w:rsidRPr="001759E3">
              <w:rPr>
                <w:rFonts w:ascii="Arial" w:eastAsia="Times New Roman" w:hAnsi="Arial" w:cs="Arial"/>
                <w:color w:val="C00000"/>
                <w:sz w:val="20"/>
                <w:szCs w:val="20"/>
                <w:lang w:val="en-GB" w:eastAsia="en-GB"/>
              </w:rPr>
              <w:t>-43%</w:t>
            </w:r>
          </w:p>
        </w:tc>
        <w:tc>
          <w:tcPr>
            <w:tcW w:w="1147" w:type="dxa"/>
            <w:tcBorders>
              <w:top w:val="nil"/>
              <w:left w:val="nil"/>
              <w:bottom w:val="single" w:sz="4" w:space="0" w:color="E7E6E6"/>
              <w:right w:val="single" w:sz="4" w:space="0" w:color="FFFFFF"/>
            </w:tcBorders>
            <w:shd w:val="clear" w:color="FFFFCC" w:fill="FFFFFF"/>
            <w:noWrap/>
            <w:vAlign w:val="center"/>
            <w:hideMark/>
          </w:tcPr>
          <w:p w14:paraId="2324C19B" w14:textId="77777777" w:rsidR="0032041F" w:rsidRPr="001759E3" w:rsidRDefault="0032041F" w:rsidP="007C4FDE">
            <w:pPr>
              <w:spacing w:after="0" w:line="240" w:lineRule="auto"/>
              <w:jc w:val="center"/>
              <w:rPr>
                <w:rFonts w:ascii="Arial" w:eastAsia="Times New Roman" w:hAnsi="Arial" w:cs="Arial"/>
                <w:color w:val="000000"/>
                <w:sz w:val="20"/>
                <w:szCs w:val="20"/>
                <w:lang w:val="en-GB" w:eastAsia="en-GB"/>
              </w:rPr>
            </w:pPr>
            <w:r w:rsidRPr="001759E3">
              <w:rPr>
                <w:rFonts w:ascii="Arial" w:eastAsia="Times New Roman" w:hAnsi="Arial" w:cs="Arial"/>
                <w:color w:val="C00000"/>
                <w:sz w:val="20"/>
                <w:szCs w:val="20"/>
                <w:lang w:val="en-GB" w:eastAsia="en-GB"/>
              </w:rPr>
              <w:t>-3.7</w:t>
            </w:r>
          </w:p>
        </w:tc>
      </w:tr>
      <w:tr w:rsidR="0032041F" w:rsidRPr="001759E3" w14:paraId="39D2C3E5" w14:textId="77777777" w:rsidTr="007C4FDE">
        <w:trPr>
          <w:trHeight w:val="255"/>
        </w:trPr>
        <w:tc>
          <w:tcPr>
            <w:tcW w:w="1150" w:type="dxa"/>
            <w:tcBorders>
              <w:top w:val="single" w:sz="4" w:space="0" w:color="E7E6E6"/>
              <w:left w:val="single" w:sz="4" w:space="0" w:color="FFFFFF"/>
              <w:bottom w:val="single" w:sz="4" w:space="0" w:color="auto"/>
              <w:right w:val="single" w:sz="4" w:space="0" w:color="FFFFFF"/>
            </w:tcBorders>
            <w:shd w:val="clear" w:color="FFFFCC" w:fill="FFFFFF"/>
            <w:vAlign w:val="center"/>
            <w:hideMark/>
          </w:tcPr>
          <w:p w14:paraId="06512C19" w14:textId="77777777" w:rsidR="0032041F" w:rsidRPr="001759E3" w:rsidRDefault="0032041F" w:rsidP="007C4FDE">
            <w:pPr>
              <w:spacing w:after="0" w:line="240" w:lineRule="auto"/>
              <w:jc w:val="center"/>
              <w:rPr>
                <w:rFonts w:ascii="Arial" w:eastAsia="Times New Roman" w:hAnsi="Arial" w:cs="Arial"/>
                <w:b/>
                <w:bCs/>
                <w:color w:val="000000"/>
                <w:sz w:val="20"/>
                <w:szCs w:val="20"/>
                <w:lang w:val="en-GB" w:eastAsia="en-GB"/>
              </w:rPr>
            </w:pPr>
            <w:r w:rsidRPr="001759E3">
              <w:rPr>
                <w:rFonts w:ascii="Arial" w:eastAsia="Times New Roman" w:hAnsi="Arial" w:cs="Arial"/>
                <w:b/>
                <w:bCs/>
                <w:color w:val="000000"/>
                <w:sz w:val="20"/>
                <w:szCs w:val="20"/>
                <w:lang w:val="en-GB" w:eastAsia="en-GB"/>
              </w:rPr>
              <w:t>Scotland</w:t>
            </w:r>
          </w:p>
        </w:tc>
        <w:tc>
          <w:tcPr>
            <w:tcW w:w="1272" w:type="dxa"/>
            <w:tcBorders>
              <w:top w:val="single" w:sz="4" w:space="0" w:color="E7E6E6"/>
              <w:left w:val="single" w:sz="4" w:space="0" w:color="000000"/>
              <w:bottom w:val="single" w:sz="4" w:space="0" w:color="000000"/>
              <w:right w:val="single" w:sz="4" w:space="0" w:color="FFFFFF"/>
            </w:tcBorders>
            <w:shd w:val="clear" w:color="FFFFCC" w:fill="FFFFFF"/>
            <w:noWrap/>
            <w:vAlign w:val="center"/>
            <w:hideMark/>
          </w:tcPr>
          <w:p w14:paraId="7315821C" w14:textId="77777777" w:rsidR="0032041F" w:rsidRPr="001759E3" w:rsidRDefault="0032041F" w:rsidP="007C4FDE">
            <w:pPr>
              <w:spacing w:after="0" w:line="240" w:lineRule="auto"/>
              <w:jc w:val="center"/>
              <w:rPr>
                <w:rFonts w:ascii="Arial" w:eastAsia="Times New Roman" w:hAnsi="Arial" w:cs="Arial"/>
                <w:color w:val="000000"/>
                <w:sz w:val="20"/>
                <w:szCs w:val="20"/>
                <w:lang w:val="en-GB" w:eastAsia="en-GB"/>
              </w:rPr>
            </w:pPr>
            <w:r w:rsidRPr="001759E3">
              <w:rPr>
                <w:rFonts w:ascii="Arial" w:eastAsia="Times New Roman" w:hAnsi="Arial" w:cs="Arial"/>
                <w:color w:val="000000"/>
                <w:sz w:val="20"/>
                <w:szCs w:val="20"/>
                <w:lang w:val="en-GB" w:eastAsia="en-GB"/>
              </w:rPr>
              <w:t>n/a</w:t>
            </w:r>
          </w:p>
        </w:tc>
        <w:tc>
          <w:tcPr>
            <w:tcW w:w="1272" w:type="dxa"/>
            <w:tcBorders>
              <w:top w:val="single" w:sz="4" w:space="0" w:color="E7E6E6"/>
              <w:left w:val="single" w:sz="4" w:space="0" w:color="FFFFFF"/>
              <w:bottom w:val="single" w:sz="4" w:space="0" w:color="000000"/>
              <w:right w:val="single" w:sz="4" w:space="0" w:color="FFFFFF"/>
            </w:tcBorders>
            <w:shd w:val="clear" w:color="FFFFCC" w:fill="FFFFFF"/>
            <w:noWrap/>
            <w:vAlign w:val="center"/>
            <w:hideMark/>
          </w:tcPr>
          <w:p w14:paraId="1B2D73DF" w14:textId="77777777" w:rsidR="0032041F" w:rsidRPr="001759E3" w:rsidRDefault="0032041F" w:rsidP="007C4FDE">
            <w:pPr>
              <w:spacing w:after="0" w:line="240" w:lineRule="auto"/>
              <w:jc w:val="center"/>
              <w:rPr>
                <w:rFonts w:ascii="Arial" w:eastAsia="Times New Roman" w:hAnsi="Arial" w:cs="Arial"/>
                <w:color w:val="000000"/>
                <w:sz w:val="20"/>
                <w:szCs w:val="20"/>
                <w:lang w:val="en-GB" w:eastAsia="en-GB"/>
              </w:rPr>
            </w:pPr>
            <w:r w:rsidRPr="001759E3">
              <w:rPr>
                <w:rFonts w:ascii="Arial" w:eastAsia="Times New Roman" w:hAnsi="Arial" w:cs="Arial"/>
                <w:color w:val="000000"/>
                <w:sz w:val="20"/>
                <w:szCs w:val="20"/>
                <w:lang w:val="en-GB" w:eastAsia="en-GB"/>
              </w:rPr>
              <w:t>n/a</w:t>
            </w:r>
          </w:p>
        </w:tc>
        <w:tc>
          <w:tcPr>
            <w:tcW w:w="1263" w:type="dxa"/>
            <w:tcBorders>
              <w:top w:val="single" w:sz="4" w:space="0" w:color="E7E6E6"/>
              <w:left w:val="single" w:sz="4" w:space="0" w:color="FFFFFF"/>
              <w:bottom w:val="single" w:sz="4" w:space="0" w:color="000000"/>
              <w:right w:val="single" w:sz="4" w:space="0" w:color="000000"/>
            </w:tcBorders>
            <w:shd w:val="clear" w:color="FFFFCC" w:fill="FFFFFF"/>
            <w:noWrap/>
            <w:vAlign w:val="center"/>
            <w:hideMark/>
          </w:tcPr>
          <w:p w14:paraId="39C2E3B1" w14:textId="77777777" w:rsidR="0032041F" w:rsidRPr="001759E3" w:rsidRDefault="0032041F" w:rsidP="007C4FDE">
            <w:pPr>
              <w:spacing w:after="0" w:line="240" w:lineRule="auto"/>
              <w:jc w:val="center"/>
              <w:rPr>
                <w:rFonts w:ascii="Arial" w:eastAsia="Times New Roman" w:hAnsi="Arial" w:cs="Arial"/>
                <w:b/>
                <w:bCs/>
                <w:color w:val="757171"/>
                <w:sz w:val="20"/>
                <w:szCs w:val="20"/>
                <w:lang w:val="en-GB" w:eastAsia="en-GB"/>
              </w:rPr>
            </w:pPr>
            <w:r w:rsidRPr="001759E3">
              <w:rPr>
                <w:rFonts w:ascii="Arial" w:eastAsia="Times New Roman" w:hAnsi="Arial" w:cs="Arial"/>
                <w:b/>
                <w:bCs/>
                <w:color w:val="757171"/>
                <w:sz w:val="20"/>
                <w:szCs w:val="20"/>
                <w:lang w:val="en-GB" w:eastAsia="en-GB"/>
              </w:rPr>
              <w:t>n/a</w:t>
            </w:r>
          </w:p>
        </w:tc>
        <w:tc>
          <w:tcPr>
            <w:tcW w:w="1275" w:type="dxa"/>
            <w:tcBorders>
              <w:top w:val="single" w:sz="4" w:space="0" w:color="E7E6E6"/>
              <w:left w:val="single" w:sz="4" w:space="0" w:color="FFFFFF"/>
              <w:bottom w:val="single" w:sz="4" w:space="0" w:color="000000"/>
              <w:right w:val="single" w:sz="4" w:space="0" w:color="FFFFFF"/>
            </w:tcBorders>
            <w:shd w:val="clear" w:color="FFFFCC" w:fill="FFFFFF"/>
            <w:noWrap/>
            <w:vAlign w:val="center"/>
            <w:hideMark/>
          </w:tcPr>
          <w:p w14:paraId="04A5C131" w14:textId="77777777" w:rsidR="0032041F" w:rsidRPr="001759E3" w:rsidRDefault="0032041F" w:rsidP="007C4FDE">
            <w:pPr>
              <w:spacing w:after="0" w:line="240" w:lineRule="auto"/>
              <w:jc w:val="center"/>
              <w:rPr>
                <w:rFonts w:ascii="Arial" w:eastAsia="Times New Roman" w:hAnsi="Arial" w:cs="Arial"/>
                <w:color w:val="000000"/>
                <w:sz w:val="20"/>
                <w:szCs w:val="20"/>
                <w:lang w:val="en-GB" w:eastAsia="en-GB"/>
              </w:rPr>
            </w:pPr>
            <w:r w:rsidRPr="001759E3">
              <w:rPr>
                <w:rFonts w:ascii="Arial" w:eastAsia="Times New Roman" w:hAnsi="Arial" w:cs="Arial"/>
                <w:color w:val="000000"/>
                <w:sz w:val="20"/>
                <w:szCs w:val="20"/>
                <w:lang w:val="en-GB" w:eastAsia="en-GB"/>
              </w:rPr>
              <w:t>n/a</w:t>
            </w:r>
          </w:p>
        </w:tc>
        <w:tc>
          <w:tcPr>
            <w:tcW w:w="1751" w:type="dxa"/>
            <w:tcBorders>
              <w:top w:val="single" w:sz="4" w:space="0" w:color="E7E6E6"/>
              <w:left w:val="single" w:sz="4" w:space="0" w:color="FFFFFF"/>
              <w:bottom w:val="single" w:sz="4" w:space="0" w:color="000000"/>
              <w:right w:val="single" w:sz="4" w:space="0" w:color="FFFFFF"/>
            </w:tcBorders>
            <w:shd w:val="clear" w:color="FFFFCC" w:fill="FFFFFF"/>
            <w:noWrap/>
            <w:vAlign w:val="center"/>
            <w:hideMark/>
          </w:tcPr>
          <w:p w14:paraId="65F117A4" w14:textId="77777777" w:rsidR="0032041F" w:rsidRPr="001759E3" w:rsidRDefault="0032041F" w:rsidP="007C4FDE">
            <w:pPr>
              <w:spacing w:after="0" w:line="240" w:lineRule="auto"/>
              <w:jc w:val="center"/>
              <w:rPr>
                <w:rFonts w:ascii="Arial" w:eastAsia="Times New Roman" w:hAnsi="Arial" w:cs="Arial"/>
                <w:color w:val="000000"/>
                <w:sz w:val="20"/>
                <w:szCs w:val="20"/>
                <w:lang w:val="en-GB" w:eastAsia="en-GB"/>
              </w:rPr>
            </w:pPr>
            <w:r w:rsidRPr="001759E3">
              <w:rPr>
                <w:rFonts w:ascii="Arial" w:eastAsia="Times New Roman" w:hAnsi="Arial" w:cs="Arial"/>
                <w:color w:val="000000"/>
                <w:sz w:val="20"/>
                <w:szCs w:val="20"/>
                <w:lang w:val="en-GB" w:eastAsia="en-GB"/>
              </w:rPr>
              <w:t>n/a</w:t>
            </w:r>
          </w:p>
        </w:tc>
        <w:tc>
          <w:tcPr>
            <w:tcW w:w="1147" w:type="dxa"/>
            <w:tcBorders>
              <w:top w:val="single" w:sz="4" w:space="0" w:color="E7E6E6"/>
              <w:left w:val="single" w:sz="4" w:space="0" w:color="FFFFFF"/>
              <w:bottom w:val="single" w:sz="4" w:space="0" w:color="000000"/>
              <w:right w:val="single" w:sz="4" w:space="0" w:color="FFFFFF"/>
            </w:tcBorders>
            <w:shd w:val="clear" w:color="FFFFCC" w:fill="FFFFFF"/>
            <w:noWrap/>
            <w:vAlign w:val="center"/>
            <w:hideMark/>
          </w:tcPr>
          <w:p w14:paraId="6D24DA2C" w14:textId="77777777" w:rsidR="0032041F" w:rsidRPr="001759E3" w:rsidRDefault="0032041F" w:rsidP="007C4FDE">
            <w:pPr>
              <w:spacing w:after="0" w:line="240" w:lineRule="auto"/>
              <w:jc w:val="center"/>
              <w:rPr>
                <w:rFonts w:ascii="Arial" w:eastAsia="Times New Roman" w:hAnsi="Arial" w:cs="Arial"/>
                <w:b/>
                <w:bCs/>
                <w:color w:val="757171"/>
                <w:sz w:val="20"/>
                <w:szCs w:val="20"/>
                <w:lang w:val="en-GB" w:eastAsia="en-GB"/>
              </w:rPr>
            </w:pPr>
            <w:r w:rsidRPr="001759E3">
              <w:rPr>
                <w:rFonts w:ascii="Arial" w:eastAsia="Times New Roman" w:hAnsi="Arial" w:cs="Arial"/>
                <w:b/>
                <w:bCs/>
                <w:color w:val="757171"/>
                <w:sz w:val="20"/>
                <w:szCs w:val="20"/>
                <w:lang w:val="en-GB" w:eastAsia="en-GB"/>
              </w:rPr>
              <w:t>n/a</w:t>
            </w:r>
          </w:p>
        </w:tc>
      </w:tr>
    </w:tbl>
    <w:p w14:paraId="06A162B0" w14:textId="0D98A29B" w:rsidR="00F151EA" w:rsidRDefault="00F151EA" w:rsidP="00F151EA">
      <w:pPr>
        <w:pStyle w:val="Caption"/>
      </w:pPr>
      <w:bookmarkStart w:id="117" w:name="_Toc512556872"/>
      <w:r>
        <w:t xml:space="preserve">Table </w:t>
      </w:r>
      <w:r>
        <w:fldChar w:fldCharType="begin"/>
      </w:r>
      <w:r>
        <w:instrText xml:space="preserve"> SEQ Table \* ARABIC </w:instrText>
      </w:r>
      <w:r>
        <w:fldChar w:fldCharType="separate"/>
      </w:r>
      <w:r w:rsidR="0099156B">
        <w:rPr>
          <w:noProof/>
        </w:rPr>
        <w:t>15</w:t>
      </w:r>
      <w:r>
        <w:fldChar w:fldCharType="end"/>
      </w:r>
      <w:r>
        <w:t xml:space="preserve"> – Changes in wheelchair accessible taxi vehicle numbers, 2015</w:t>
      </w:r>
      <w:r w:rsidR="000573F2">
        <w:t>–</w:t>
      </w:r>
      <w:r>
        <w:t>2017</w:t>
      </w:r>
      <w:bookmarkEnd w:id="117"/>
    </w:p>
    <w:p w14:paraId="22875CE9" w14:textId="77777777" w:rsidR="009966EF" w:rsidRDefault="009966EF" w:rsidP="00F151EA"/>
    <w:p w14:paraId="4DA29BF9" w14:textId="77777777" w:rsidR="0022225B" w:rsidRDefault="00F151EA" w:rsidP="00F151EA">
      <w:r>
        <w:t>Overall, there has been a decrease in wheelchair accessible hackney carriages</w:t>
      </w:r>
      <w:r w:rsidR="0022225B">
        <w:t xml:space="preserve"> in Great Britain</w:t>
      </w:r>
      <w:r>
        <w:t xml:space="preserve"> between 2015 and 2017. However, the changes in London skew these results. London has experienced a considerable decline in the number of taxis</w:t>
      </w:r>
      <w:r w:rsidR="001205E6">
        <w:t xml:space="preserve"> (1,000 lost in two years)</w:t>
      </w:r>
      <w:r>
        <w:t xml:space="preserve">. As all </w:t>
      </w:r>
      <w:r w:rsidR="0022225B">
        <w:t xml:space="preserve">London’s </w:t>
      </w:r>
      <w:r>
        <w:t xml:space="preserve">taxis are accessible, this represents a substantial proportion of the loss. </w:t>
      </w:r>
    </w:p>
    <w:p w14:paraId="03977B85" w14:textId="345C2274" w:rsidR="00F151EA" w:rsidRDefault="00F151EA" w:rsidP="00F151EA">
      <w:r>
        <w:t>If we exclude London, there has been an increase in provision of wheelchair accessible taxis across England and Wales – from 39% of all taxis to 41%, an increase of 379.</w:t>
      </w:r>
    </w:p>
    <w:p w14:paraId="77D71331" w14:textId="0F432FA6" w:rsidR="00F151EA" w:rsidRDefault="001205E6" w:rsidP="00F151EA">
      <w:r>
        <w:t>That average, however, hides considerable variation in change of provision of accessible vehicles. 40% of authorities increased their provision of licensed wheelchair accessible vehicles</w:t>
      </w:r>
      <w:r w:rsidR="0022225B">
        <w:t xml:space="preserve"> between 2015 and 2017</w:t>
      </w:r>
      <w:r>
        <w:t>; 43% decreased their provision.</w:t>
      </w:r>
      <w:r w:rsidR="006919D9">
        <w:t xml:space="preserve"> </w:t>
      </w:r>
    </w:p>
    <w:p w14:paraId="3C49A8A2" w14:textId="0CC02231" w:rsidR="006919D9" w:rsidRDefault="006919D9" w:rsidP="00F151EA">
      <w:r>
        <w:t>9 authorities lost all its existing fleet of wheelchair accessible vehicles</w:t>
      </w:r>
      <w:r w:rsidR="0022225B">
        <w:t>. These authorities are</w:t>
      </w:r>
      <w:r>
        <w:t xml:space="preserve"> </w:t>
      </w:r>
      <w:r w:rsidRPr="006919D9">
        <w:t>Denbighshire</w:t>
      </w:r>
      <w:r>
        <w:t xml:space="preserve"> (which lost 20)</w:t>
      </w:r>
      <w:r w:rsidRPr="006919D9">
        <w:t>, Harborough, Oadby and Wigston, Allerdale, Bolsover, Fenland, South Cambridgeshire, Derbyshire Dales and North East Derbyshire</w:t>
      </w:r>
      <w:r>
        <w:t xml:space="preserve">. These </w:t>
      </w:r>
      <w:r w:rsidR="00827861">
        <w:t>join Broadland</w:t>
      </w:r>
      <w:r w:rsidRPr="006919D9">
        <w:t>, Rutland and South Derbyshire</w:t>
      </w:r>
      <w:r>
        <w:t xml:space="preserve"> who had no accessible taxis in 2015 and still haven’t</w:t>
      </w:r>
      <w:r w:rsidR="0022225B">
        <w:t xml:space="preserve"> in 2017</w:t>
      </w:r>
      <w:r>
        <w:t>.</w:t>
      </w:r>
    </w:p>
    <w:p w14:paraId="21EB5392" w14:textId="1915973C" w:rsidR="001205E6" w:rsidRDefault="001205E6" w:rsidP="00F151EA">
      <w:r>
        <w:t xml:space="preserve">Other than London, the </w:t>
      </w:r>
      <w:r w:rsidR="000C66CB">
        <w:t xml:space="preserve">authority to </w:t>
      </w:r>
      <w:r w:rsidR="006919D9">
        <w:t xml:space="preserve">have lost the largest number of </w:t>
      </w:r>
      <w:r w:rsidR="000C66CB">
        <w:t xml:space="preserve">accessible </w:t>
      </w:r>
      <w:r w:rsidR="006919D9">
        <w:t>taxis</w:t>
      </w:r>
      <w:r w:rsidR="000C66CB">
        <w:t xml:space="preserve"> is Redcar and Cleveland, which went from 82 to 4. Conversely, Warwick increased its fleet of accessible vehicles from 47 to 156.</w:t>
      </w:r>
    </w:p>
    <w:p w14:paraId="702D46AC" w14:textId="052ECB94" w:rsidR="00690424" w:rsidRDefault="009966EF" w:rsidP="000C3238">
      <w:pPr>
        <w:sectPr w:rsidR="00690424" w:rsidSect="0080636E">
          <w:footerReference w:type="default" r:id="rId40"/>
          <w:headerReference w:type="first" r:id="rId41"/>
          <w:footerReference w:type="first" r:id="rId42"/>
          <w:footnotePr>
            <w:pos w:val="beneathText"/>
          </w:footnotePr>
          <w:pgSz w:w="11907" w:h="16840" w:code="9"/>
          <w:pgMar w:top="1440" w:right="1440" w:bottom="1440" w:left="1440" w:header="568" w:footer="503" w:gutter="0"/>
          <w:cols w:space="720"/>
          <w:noEndnote/>
          <w:docGrid w:linePitch="360"/>
        </w:sectPr>
      </w:pPr>
      <w:r>
        <w:t xml:space="preserve">There is still </w:t>
      </w:r>
      <w:r w:rsidR="000C66CB">
        <w:t>a significant variation in provision of wheelchair accessible taxis round the country, both in absolute terms and per head of population.</w:t>
      </w:r>
    </w:p>
    <w:p w14:paraId="1C3AE662" w14:textId="77777777" w:rsidR="00690424" w:rsidRDefault="00690424" w:rsidP="00690424">
      <w:pPr>
        <w:keepNext/>
        <w:spacing w:after="0" w:line="240" w:lineRule="auto"/>
        <w:jc w:val="center"/>
      </w:pPr>
      <w:r>
        <w:rPr>
          <w:noProof/>
        </w:rPr>
        <w:lastRenderedPageBreak/>
        <w:drawing>
          <wp:inline distT="0" distB="0" distL="0" distR="0" wp14:anchorId="4417C591" wp14:editId="7D3F2821">
            <wp:extent cx="6706225" cy="9496425"/>
            <wp:effectExtent l="114300" t="114300" r="209550" b="200025"/>
            <wp:docPr id="21" name="Picture 16">
              <a:extLst xmlns:a="http://schemas.openxmlformats.org/drawingml/2006/main">
                <a:ext uri="{FF2B5EF4-FFF2-40B4-BE49-F238E27FC236}">
                  <a16:creationId xmlns:a16="http://schemas.microsoft.com/office/drawing/2014/main" id="{C560AB72-46C0-4750-9579-A65253F1E5B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a:extLst>
                        <a:ext uri="{FF2B5EF4-FFF2-40B4-BE49-F238E27FC236}">
                          <a16:creationId xmlns:a16="http://schemas.microsoft.com/office/drawing/2014/main" id="{C560AB72-46C0-4750-9579-A65253F1E5BD}"/>
                        </a:ext>
                      </a:extLst>
                    </pic:cNvPr>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6713656" cy="9506947"/>
                    </a:xfrm>
                    <a:prstGeom prst="rect">
                      <a:avLst/>
                    </a:prstGeom>
                    <a:ln w="88900" cap="sq" cmpd="thickThin">
                      <a:solidFill>
                        <a:srgbClr val="000000"/>
                      </a:solidFill>
                      <a:prstDash val="solid"/>
                      <a:miter lim="800000"/>
                    </a:ln>
                    <a:effectLst>
                      <a:outerShdw blurRad="50800" dist="63500" dir="2700000" algn="tl" rotWithShape="0">
                        <a:prstClr val="black">
                          <a:alpha val="40000"/>
                        </a:prstClr>
                      </a:outerShdw>
                    </a:effectLst>
                  </pic:spPr>
                </pic:pic>
              </a:graphicData>
            </a:graphic>
          </wp:inline>
        </w:drawing>
      </w:r>
    </w:p>
    <w:p w14:paraId="1AA4ECA9" w14:textId="5DDCDF27" w:rsidR="00690424" w:rsidRDefault="00690424" w:rsidP="00690424">
      <w:pPr>
        <w:pStyle w:val="Caption"/>
      </w:pPr>
      <w:bookmarkStart w:id="118" w:name="_Toc512556848"/>
      <w:r>
        <w:t xml:space="preserve">Map  </w:t>
      </w:r>
      <w:r>
        <w:fldChar w:fldCharType="begin"/>
      </w:r>
      <w:r>
        <w:instrText xml:space="preserve"> SEQ Map_ \* ARABIC </w:instrText>
      </w:r>
      <w:r>
        <w:fldChar w:fldCharType="separate"/>
      </w:r>
      <w:r w:rsidR="0099156B">
        <w:rPr>
          <w:noProof/>
        </w:rPr>
        <w:t>5</w:t>
      </w:r>
      <w:r>
        <w:fldChar w:fldCharType="end"/>
      </w:r>
      <w:r>
        <w:t xml:space="preserve"> </w:t>
      </w:r>
      <w:r w:rsidR="000573F2">
        <w:t>–</w:t>
      </w:r>
      <w:r w:rsidR="000911DE">
        <w:t xml:space="preserve"> </w:t>
      </w:r>
      <w:r>
        <w:t xml:space="preserve">Accessible Taxis in each licensing </w:t>
      </w:r>
      <w:r w:rsidR="009966EF">
        <w:t>area, 2017</w:t>
      </w:r>
      <w:bookmarkEnd w:id="118"/>
    </w:p>
    <w:p w14:paraId="0E4BE458" w14:textId="77777777" w:rsidR="00690424" w:rsidRDefault="00690424" w:rsidP="00690424">
      <w:pPr>
        <w:keepNext/>
        <w:spacing w:after="0" w:line="240" w:lineRule="auto"/>
        <w:jc w:val="center"/>
      </w:pPr>
      <w:r>
        <w:rPr>
          <w:noProof/>
        </w:rPr>
        <w:lastRenderedPageBreak/>
        <w:drawing>
          <wp:inline distT="0" distB="0" distL="0" distR="0" wp14:anchorId="294F3482" wp14:editId="527A5E0D">
            <wp:extent cx="6676627" cy="9454515"/>
            <wp:effectExtent l="114300" t="114300" r="200660" b="203835"/>
            <wp:docPr id="22" name="Picture 16">
              <a:extLst xmlns:a="http://schemas.openxmlformats.org/drawingml/2006/main">
                <a:ext uri="{FF2B5EF4-FFF2-40B4-BE49-F238E27FC236}">
                  <a16:creationId xmlns:a16="http://schemas.microsoft.com/office/drawing/2014/main" id="{C560AB72-46C0-4750-9579-A65253F1E5B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a:extLst>
                        <a:ext uri="{FF2B5EF4-FFF2-40B4-BE49-F238E27FC236}">
                          <a16:creationId xmlns:a16="http://schemas.microsoft.com/office/drawing/2014/main" id="{C560AB72-46C0-4750-9579-A65253F1E5BD}"/>
                        </a:ext>
                      </a:extLst>
                    </pic:cNvPr>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6688913" cy="9471913"/>
                    </a:xfrm>
                    <a:prstGeom prst="rect">
                      <a:avLst/>
                    </a:prstGeom>
                    <a:ln w="88900" cap="sq" cmpd="thickThin">
                      <a:solidFill>
                        <a:srgbClr val="000000"/>
                      </a:solidFill>
                      <a:prstDash val="solid"/>
                      <a:miter lim="800000"/>
                    </a:ln>
                    <a:effectLst>
                      <a:outerShdw blurRad="50800" dist="63500" dir="2700000" algn="tl" rotWithShape="0">
                        <a:prstClr val="black">
                          <a:alpha val="40000"/>
                        </a:prstClr>
                      </a:outerShdw>
                    </a:effectLst>
                  </pic:spPr>
                </pic:pic>
              </a:graphicData>
            </a:graphic>
          </wp:inline>
        </w:drawing>
      </w:r>
    </w:p>
    <w:p w14:paraId="2CB8A950" w14:textId="52304725" w:rsidR="00690424" w:rsidRDefault="00690424" w:rsidP="00690424">
      <w:pPr>
        <w:pStyle w:val="Caption"/>
        <w:sectPr w:rsidR="00690424" w:rsidSect="00C43E89">
          <w:footnotePr>
            <w:pos w:val="beneathText"/>
          </w:footnotePr>
          <w:pgSz w:w="11907" w:h="16840" w:code="9"/>
          <w:pgMar w:top="567" w:right="425" w:bottom="567" w:left="425" w:header="142" w:footer="0" w:gutter="0"/>
          <w:cols w:space="720"/>
          <w:noEndnote/>
          <w:docGrid w:linePitch="360"/>
        </w:sectPr>
      </w:pPr>
      <w:bookmarkStart w:id="119" w:name="_Toc512556849"/>
      <w:r>
        <w:t xml:space="preserve">Map  </w:t>
      </w:r>
      <w:r>
        <w:fldChar w:fldCharType="begin"/>
      </w:r>
      <w:r>
        <w:instrText xml:space="preserve"> SEQ Map_ \* ARABIC </w:instrText>
      </w:r>
      <w:r>
        <w:fldChar w:fldCharType="separate"/>
      </w:r>
      <w:r w:rsidR="0099156B">
        <w:rPr>
          <w:noProof/>
        </w:rPr>
        <w:t>6</w:t>
      </w:r>
      <w:r>
        <w:fldChar w:fldCharType="end"/>
      </w:r>
      <w:r>
        <w:t xml:space="preserve"> – Accessible Taxis per 1,000 population, 2017</w:t>
      </w:r>
      <w:bookmarkEnd w:id="119"/>
    </w:p>
    <w:p w14:paraId="4A4DC2AE" w14:textId="7A82016A" w:rsidR="00690424" w:rsidRDefault="0071092C" w:rsidP="00690424">
      <w:pPr>
        <w:pStyle w:val="Heading2"/>
      </w:pPr>
      <w:bookmarkStart w:id="120" w:name="_Toc512556909"/>
      <w:r>
        <w:lastRenderedPageBreak/>
        <w:t>Licensing authorities’</w:t>
      </w:r>
      <w:r w:rsidR="00690424">
        <w:t xml:space="preserve"> Polic</w:t>
      </w:r>
      <w:r w:rsidR="000911DE">
        <w:t>ies</w:t>
      </w:r>
      <w:r w:rsidR="00690424">
        <w:t xml:space="preserve"> on </w:t>
      </w:r>
      <w:r>
        <w:t>W</w:t>
      </w:r>
      <w:r w:rsidR="00690424">
        <w:t xml:space="preserve">heelchair </w:t>
      </w:r>
      <w:r>
        <w:t>Accessibility</w:t>
      </w:r>
      <w:bookmarkEnd w:id="120"/>
    </w:p>
    <w:tbl>
      <w:tblPr>
        <w:tblW w:w="8300" w:type="dxa"/>
        <w:jc w:val="center"/>
        <w:tblLook w:val="04A0" w:firstRow="1" w:lastRow="0" w:firstColumn="1" w:lastColumn="0" w:noHBand="0" w:noVBand="1"/>
      </w:tblPr>
      <w:tblGrid>
        <w:gridCol w:w="1560"/>
        <w:gridCol w:w="1720"/>
        <w:gridCol w:w="1740"/>
        <w:gridCol w:w="1273"/>
        <w:gridCol w:w="2160"/>
      </w:tblGrid>
      <w:tr w:rsidR="0071092C" w:rsidRPr="0071092C" w14:paraId="4A94C53F" w14:textId="77777777" w:rsidTr="0022225B">
        <w:trPr>
          <w:trHeight w:val="495"/>
          <w:jc w:val="center"/>
        </w:trPr>
        <w:tc>
          <w:tcPr>
            <w:tcW w:w="1560" w:type="dxa"/>
            <w:tcBorders>
              <w:top w:val="single" w:sz="4" w:space="0" w:color="757171"/>
              <w:left w:val="single" w:sz="4" w:space="0" w:color="757171"/>
              <w:bottom w:val="single" w:sz="4" w:space="0" w:color="757171"/>
              <w:right w:val="single" w:sz="4" w:space="0" w:color="757171"/>
            </w:tcBorders>
            <w:shd w:val="clear" w:color="000000" w:fill="FFFFFF"/>
            <w:vAlign w:val="bottom"/>
            <w:hideMark/>
          </w:tcPr>
          <w:p w14:paraId="1512A71F" w14:textId="77777777" w:rsidR="0071092C" w:rsidRPr="0071092C" w:rsidRDefault="0071092C" w:rsidP="0071092C">
            <w:pPr>
              <w:spacing w:after="0" w:line="240" w:lineRule="auto"/>
              <w:jc w:val="center"/>
              <w:rPr>
                <w:rFonts w:ascii="Arial" w:eastAsia="Times New Roman" w:hAnsi="Arial" w:cs="Arial"/>
                <w:b/>
                <w:bCs/>
                <w:color w:val="000000"/>
                <w:sz w:val="20"/>
                <w:szCs w:val="20"/>
                <w:lang w:val="en-GB" w:eastAsia="en-GB"/>
              </w:rPr>
            </w:pPr>
            <w:r w:rsidRPr="0071092C">
              <w:rPr>
                <w:rFonts w:ascii="Arial" w:eastAsia="Times New Roman" w:hAnsi="Arial" w:cs="Arial"/>
                <w:b/>
                <w:bCs/>
                <w:color w:val="000000"/>
                <w:sz w:val="20"/>
                <w:szCs w:val="20"/>
                <w:lang w:val="en-GB" w:eastAsia="en-GB"/>
              </w:rPr>
              <w:t>Authorities</w:t>
            </w:r>
          </w:p>
        </w:tc>
        <w:tc>
          <w:tcPr>
            <w:tcW w:w="1720" w:type="dxa"/>
            <w:tcBorders>
              <w:top w:val="single" w:sz="4" w:space="0" w:color="757171"/>
              <w:left w:val="single" w:sz="4" w:space="0" w:color="auto"/>
              <w:bottom w:val="single" w:sz="4" w:space="0" w:color="757171"/>
              <w:right w:val="single" w:sz="4" w:space="0" w:color="FFFFFF"/>
            </w:tcBorders>
            <w:shd w:val="clear" w:color="000000" w:fill="FFFFFF"/>
            <w:vAlign w:val="bottom"/>
            <w:hideMark/>
          </w:tcPr>
          <w:p w14:paraId="07A20B89" w14:textId="77777777" w:rsidR="0071092C" w:rsidRPr="0071092C" w:rsidRDefault="0071092C" w:rsidP="0071092C">
            <w:pPr>
              <w:spacing w:after="0" w:line="240" w:lineRule="auto"/>
              <w:jc w:val="left"/>
              <w:rPr>
                <w:rFonts w:ascii="Arial" w:eastAsia="Times New Roman" w:hAnsi="Arial" w:cs="Arial"/>
                <w:b/>
                <w:bCs/>
                <w:color w:val="000000"/>
                <w:sz w:val="20"/>
                <w:szCs w:val="20"/>
                <w:lang w:val="en-GB" w:eastAsia="en-GB"/>
              </w:rPr>
            </w:pPr>
            <w:r w:rsidRPr="0071092C">
              <w:rPr>
                <w:rFonts w:ascii="Arial" w:eastAsia="Times New Roman" w:hAnsi="Arial" w:cs="Arial"/>
                <w:b/>
                <w:bCs/>
                <w:color w:val="000000"/>
                <w:sz w:val="20"/>
                <w:szCs w:val="20"/>
                <w:lang w:val="en-GB" w:eastAsia="en-GB"/>
              </w:rPr>
              <w:t>WAV Only #</w:t>
            </w:r>
          </w:p>
        </w:tc>
        <w:tc>
          <w:tcPr>
            <w:tcW w:w="1740" w:type="dxa"/>
            <w:tcBorders>
              <w:top w:val="single" w:sz="4" w:space="0" w:color="757171"/>
              <w:left w:val="single" w:sz="4" w:space="0" w:color="FFFFFF"/>
              <w:bottom w:val="single" w:sz="4" w:space="0" w:color="757171"/>
              <w:right w:val="single" w:sz="4" w:space="0" w:color="auto"/>
            </w:tcBorders>
            <w:shd w:val="clear" w:color="000000" w:fill="FFFFFF"/>
            <w:vAlign w:val="bottom"/>
            <w:hideMark/>
          </w:tcPr>
          <w:p w14:paraId="6EA12DE1" w14:textId="77777777" w:rsidR="0071092C" w:rsidRPr="0071092C" w:rsidRDefault="0071092C" w:rsidP="0071092C">
            <w:pPr>
              <w:spacing w:after="0" w:line="240" w:lineRule="auto"/>
              <w:jc w:val="left"/>
              <w:rPr>
                <w:rFonts w:ascii="Arial" w:eastAsia="Times New Roman" w:hAnsi="Arial" w:cs="Arial"/>
                <w:b/>
                <w:bCs/>
                <w:color w:val="000000"/>
                <w:sz w:val="20"/>
                <w:szCs w:val="20"/>
                <w:lang w:val="en-GB" w:eastAsia="en-GB"/>
              </w:rPr>
            </w:pPr>
            <w:r w:rsidRPr="0071092C">
              <w:rPr>
                <w:rFonts w:ascii="Arial" w:eastAsia="Times New Roman" w:hAnsi="Arial" w:cs="Arial"/>
                <w:b/>
                <w:bCs/>
                <w:color w:val="000000"/>
                <w:sz w:val="20"/>
                <w:szCs w:val="20"/>
                <w:lang w:val="en-GB" w:eastAsia="en-GB"/>
              </w:rPr>
              <w:t>WAV Only %</w:t>
            </w:r>
          </w:p>
        </w:tc>
        <w:tc>
          <w:tcPr>
            <w:tcW w:w="1120" w:type="dxa"/>
            <w:tcBorders>
              <w:top w:val="single" w:sz="4" w:space="0" w:color="757171"/>
              <w:left w:val="single" w:sz="4" w:space="0" w:color="FFFFFF"/>
              <w:bottom w:val="single" w:sz="4" w:space="0" w:color="757171"/>
              <w:right w:val="single" w:sz="4" w:space="0" w:color="FFFFFF"/>
            </w:tcBorders>
            <w:shd w:val="clear" w:color="000000" w:fill="FFFFFF"/>
            <w:vAlign w:val="bottom"/>
            <w:hideMark/>
          </w:tcPr>
          <w:p w14:paraId="386A09E6" w14:textId="77777777" w:rsidR="0071092C" w:rsidRPr="0071092C" w:rsidRDefault="0071092C" w:rsidP="0071092C">
            <w:pPr>
              <w:spacing w:after="0" w:line="240" w:lineRule="auto"/>
              <w:jc w:val="left"/>
              <w:rPr>
                <w:rFonts w:ascii="Arial" w:eastAsia="Times New Roman" w:hAnsi="Arial" w:cs="Arial"/>
                <w:b/>
                <w:bCs/>
                <w:color w:val="000000"/>
                <w:sz w:val="20"/>
                <w:szCs w:val="20"/>
                <w:lang w:val="en-GB" w:eastAsia="en-GB"/>
              </w:rPr>
            </w:pPr>
            <w:r w:rsidRPr="0071092C">
              <w:rPr>
                <w:rFonts w:ascii="Arial" w:eastAsia="Times New Roman" w:hAnsi="Arial" w:cs="Arial"/>
                <w:b/>
                <w:bCs/>
                <w:color w:val="000000"/>
                <w:sz w:val="20"/>
                <w:szCs w:val="20"/>
                <w:lang w:val="en-GB" w:eastAsia="en-GB"/>
              </w:rPr>
              <w:t>Awareness Training #</w:t>
            </w:r>
          </w:p>
        </w:tc>
        <w:tc>
          <w:tcPr>
            <w:tcW w:w="2160" w:type="dxa"/>
            <w:tcBorders>
              <w:top w:val="single" w:sz="4" w:space="0" w:color="757171"/>
              <w:left w:val="single" w:sz="4" w:space="0" w:color="FFFFFF"/>
              <w:bottom w:val="single" w:sz="4" w:space="0" w:color="757171"/>
              <w:right w:val="single" w:sz="4" w:space="0" w:color="757171"/>
            </w:tcBorders>
            <w:shd w:val="clear" w:color="000000" w:fill="FFFFFF"/>
            <w:vAlign w:val="bottom"/>
            <w:hideMark/>
          </w:tcPr>
          <w:p w14:paraId="570A8B74" w14:textId="77777777" w:rsidR="0071092C" w:rsidRPr="0071092C" w:rsidRDefault="0071092C" w:rsidP="0071092C">
            <w:pPr>
              <w:spacing w:after="0" w:line="240" w:lineRule="auto"/>
              <w:jc w:val="left"/>
              <w:rPr>
                <w:rFonts w:ascii="Arial" w:eastAsia="Times New Roman" w:hAnsi="Arial" w:cs="Arial"/>
                <w:b/>
                <w:bCs/>
                <w:color w:val="000000"/>
                <w:sz w:val="20"/>
                <w:szCs w:val="20"/>
                <w:lang w:val="en-GB" w:eastAsia="en-GB"/>
              </w:rPr>
            </w:pPr>
            <w:r w:rsidRPr="0071092C">
              <w:rPr>
                <w:rFonts w:ascii="Arial" w:eastAsia="Times New Roman" w:hAnsi="Arial" w:cs="Arial"/>
                <w:b/>
                <w:bCs/>
                <w:color w:val="000000"/>
                <w:sz w:val="20"/>
                <w:szCs w:val="20"/>
                <w:lang w:val="en-GB" w:eastAsia="en-GB"/>
              </w:rPr>
              <w:t>Awareness Training %</w:t>
            </w:r>
          </w:p>
        </w:tc>
      </w:tr>
      <w:tr w:rsidR="0071092C" w:rsidRPr="0071092C" w14:paraId="52C70FEB" w14:textId="77777777" w:rsidTr="0022225B">
        <w:trPr>
          <w:trHeight w:val="255"/>
          <w:jc w:val="center"/>
        </w:trPr>
        <w:tc>
          <w:tcPr>
            <w:tcW w:w="1560" w:type="dxa"/>
            <w:tcBorders>
              <w:top w:val="single" w:sz="4" w:space="0" w:color="FFFFFF"/>
              <w:left w:val="single" w:sz="4" w:space="0" w:color="FFFFFF"/>
              <w:bottom w:val="single" w:sz="4" w:space="0" w:color="FFFFFF"/>
              <w:right w:val="single" w:sz="4" w:space="0" w:color="FFFFFF"/>
            </w:tcBorders>
            <w:shd w:val="clear" w:color="000000" w:fill="99BD66"/>
            <w:noWrap/>
            <w:vAlign w:val="bottom"/>
            <w:hideMark/>
          </w:tcPr>
          <w:p w14:paraId="485FCF23" w14:textId="77777777" w:rsidR="0071092C" w:rsidRPr="0071092C" w:rsidRDefault="0071092C" w:rsidP="0071092C">
            <w:pPr>
              <w:spacing w:after="0" w:line="240" w:lineRule="auto"/>
              <w:jc w:val="center"/>
              <w:rPr>
                <w:rFonts w:ascii="Arial" w:eastAsia="Times New Roman" w:hAnsi="Arial" w:cs="Arial"/>
                <w:b/>
                <w:bCs/>
                <w:color w:val="000000"/>
                <w:sz w:val="20"/>
                <w:szCs w:val="20"/>
                <w:lang w:val="en-GB" w:eastAsia="en-GB"/>
              </w:rPr>
            </w:pPr>
            <w:r w:rsidRPr="0071092C">
              <w:rPr>
                <w:rFonts w:ascii="Arial" w:eastAsia="Times New Roman" w:hAnsi="Arial" w:cs="Arial"/>
                <w:b/>
                <w:bCs/>
                <w:color w:val="000000"/>
                <w:sz w:val="20"/>
                <w:szCs w:val="20"/>
                <w:lang w:val="en-GB" w:eastAsia="en-GB"/>
              </w:rPr>
              <w:t>Yes</w:t>
            </w:r>
          </w:p>
        </w:tc>
        <w:tc>
          <w:tcPr>
            <w:tcW w:w="1720" w:type="dxa"/>
            <w:tcBorders>
              <w:top w:val="single" w:sz="4" w:space="0" w:color="FFFFFF"/>
              <w:left w:val="single" w:sz="4" w:space="0" w:color="auto"/>
              <w:bottom w:val="single" w:sz="4" w:space="0" w:color="FFFFFF"/>
              <w:right w:val="single" w:sz="4" w:space="0" w:color="FFFFFF"/>
            </w:tcBorders>
            <w:shd w:val="clear" w:color="000000" w:fill="FFFFFF"/>
            <w:noWrap/>
            <w:vAlign w:val="bottom"/>
            <w:hideMark/>
          </w:tcPr>
          <w:p w14:paraId="1E9A55F9" w14:textId="77777777" w:rsidR="0071092C" w:rsidRPr="0071092C" w:rsidRDefault="0071092C" w:rsidP="0071092C">
            <w:pPr>
              <w:spacing w:after="0" w:line="240" w:lineRule="auto"/>
              <w:jc w:val="center"/>
              <w:rPr>
                <w:rFonts w:ascii="Arial" w:eastAsia="Times New Roman" w:hAnsi="Arial" w:cs="Arial"/>
                <w:color w:val="757171"/>
                <w:sz w:val="20"/>
                <w:szCs w:val="20"/>
                <w:lang w:val="en-GB" w:eastAsia="en-GB"/>
              </w:rPr>
            </w:pPr>
            <w:r w:rsidRPr="0071092C">
              <w:rPr>
                <w:rFonts w:ascii="Arial" w:eastAsia="Times New Roman" w:hAnsi="Arial" w:cs="Arial"/>
                <w:color w:val="757171"/>
                <w:sz w:val="20"/>
                <w:szCs w:val="20"/>
                <w:lang w:val="en-GB" w:eastAsia="en-GB"/>
              </w:rPr>
              <w:t>192</w:t>
            </w:r>
          </w:p>
        </w:tc>
        <w:tc>
          <w:tcPr>
            <w:tcW w:w="1740" w:type="dxa"/>
            <w:tcBorders>
              <w:top w:val="single" w:sz="4" w:space="0" w:color="FFFFFF"/>
              <w:left w:val="nil"/>
              <w:bottom w:val="single" w:sz="4" w:space="0" w:color="FFFFFF"/>
              <w:right w:val="single" w:sz="4" w:space="0" w:color="auto"/>
            </w:tcBorders>
            <w:shd w:val="clear" w:color="000000" w:fill="FFFFFF"/>
            <w:noWrap/>
            <w:vAlign w:val="bottom"/>
            <w:hideMark/>
          </w:tcPr>
          <w:p w14:paraId="21E0E649" w14:textId="77777777" w:rsidR="0071092C" w:rsidRPr="0071092C" w:rsidRDefault="0071092C" w:rsidP="0071092C">
            <w:pPr>
              <w:spacing w:after="0" w:line="240" w:lineRule="auto"/>
              <w:jc w:val="center"/>
              <w:rPr>
                <w:rFonts w:ascii="Arial" w:eastAsia="Times New Roman" w:hAnsi="Arial" w:cs="Arial"/>
                <w:color w:val="757171"/>
                <w:sz w:val="20"/>
                <w:szCs w:val="20"/>
                <w:lang w:val="en-GB" w:eastAsia="en-GB"/>
              </w:rPr>
            </w:pPr>
            <w:r w:rsidRPr="0071092C">
              <w:rPr>
                <w:rFonts w:ascii="Arial" w:eastAsia="Times New Roman" w:hAnsi="Arial" w:cs="Arial"/>
                <w:color w:val="757171"/>
                <w:sz w:val="20"/>
                <w:szCs w:val="20"/>
                <w:lang w:val="en-GB" w:eastAsia="en-GB"/>
              </w:rPr>
              <w:t>61%</w:t>
            </w:r>
          </w:p>
        </w:tc>
        <w:tc>
          <w:tcPr>
            <w:tcW w:w="1120" w:type="dxa"/>
            <w:tcBorders>
              <w:top w:val="single" w:sz="4" w:space="0" w:color="FFFFFF"/>
              <w:left w:val="single" w:sz="4" w:space="0" w:color="FFFFFF"/>
              <w:bottom w:val="single" w:sz="4" w:space="0" w:color="FFFFFF"/>
              <w:right w:val="single" w:sz="4" w:space="0" w:color="FFFFFF"/>
            </w:tcBorders>
            <w:shd w:val="clear" w:color="000000" w:fill="FFFFFF"/>
            <w:noWrap/>
            <w:vAlign w:val="bottom"/>
            <w:hideMark/>
          </w:tcPr>
          <w:p w14:paraId="4BEF342B" w14:textId="77777777" w:rsidR="0071092C" w:rsidRPr="0071092C" w:rsidRDefault="0071092C" w:rsidP="0071092C">
            <w:pPr>
              <w:spacing w:after="0" w:line="240" w:lineRule="auto"/>
              <w:jc w:val="center"/>
              <w:rPr>
                <w:rFonts w:ascii="Arial" w:eastAsia="Times New Roman" w:hAnsi="Arial" w:cs="Arial"/>
                <w:color w:val="757171"/>
                <w:sz w:val="20"/>
                <w:szCs w:val="20"/>
                <w:lang w:val="en-GB" w:eastAsia="en-GB"/>
              </w:rPr>
            </w:pPr>
            <w:r w:rsidRPr="0071092C">
              <w:rPr>
                <w:rFonts w:ascii="Arial" w:eastAsia="Times New Roman" w:hAnsi="Arial" w:cs="Arial"/>
                <w:color w:val="757171"/>
                <w:sz w:val="20"/>
                <w:szCs w:val="20"/>
                <w:lang w:val="en-GB" w:eastAsia="en-GB"/>
              </w:rPr>
              <w:t>115</w:t>
            </w:r>
          </w:p>
        </w:tc>
        <w:tc>
          <w:tcPr>
            <w:tcW w:w="2160" w:type="dxa"/>
            <w:tcBorders>
              <w:top w:val="single" w:sz="4" w:space="0" w:color="FFFFFF"/>
              <w:left w:val="nil"/>
              <w:bottom w:val="single" w:sz="4" w:space="0" w:color="FFFFFF"/>
              <w:right w:val="single" w:sz="4" w:space="0" w:color="FFFFFF"/>
            </w:tcBorders>
            <w:shd w:val="clear" w:color="000000" w:fill="FFFFFF"/>
            <w:noWrap/>
            <w:vAlign w:val="bottom"/>
            <w:hideMark/>
          </w:tcPr>
          <w:p w14:paraId="32B1318F" w14:textId="77777777" w:rsidR="0071092C" w:rsidRPr="0071092C" w:rsidRDefault="0071092C" w:rsidP="0071092C">
            <w:pPr>
              <w:spacing w:after="0" w:line="240" w:lineRule="auto"/>
              <w:jc w:val="center"/>
              <w:rPr>
                <w:rFonts w:ascii="Arial" w:eastAsia="Times New Roman" w:hAnsi="Arial" w:cs="Arial"/>
                <w:color w:val="757171"/>
                <w:sz w:val="20"/>
                <w:szCs w:val="20"/>
                <w:lang w:val="en-GB" w:eastAsia="en-GB"/>
              </w:rPr>
            </w:pPr>
            <w:r w:rsidRPr="0071092C">
              <w:rPr>
                <w:rFonts w:ascii="Arial" w:eastAsia="Times New Roman" w:hAnsi="Arial" w:cs="Arial"/>
                <w:color w:val="757171"/>
                <w:sz w:val="20"/>
                <w:szCs w:val="20"/>
                <w:lang w:val="en-GB" w:eastAsia="en-GB"/>
              </w:rPr>
              <w:t>37%</w:t>
            </w:r>
          </w:p>
        </w:tc>
      </w:tr>
      <w:tr w:rsidR="0071092C" w:rsidRPr="0071092C" w14:paraId="06D565F0" w14:textId="77777777" w:rsidTr="0022225B">
        <w:trPr>
          <w:trHeight w:val="255"/>
          <w:jc w:val="center"/>
        </w:trPr>
        <w:tc>
          <w:tcPr>
            <w:tcW w:w="1560" w:type="dxa"/>
            <w:tcBorders>
              <w:top w:val="single" w:sz="4" w:space="0" w:color="FFFFFF"/>
              <w:left w:val="single" w:sz="4" w:space="0" w:color="FFFFFF"/>
              <w:bottom w:val="single" w:sz="4" w:space="0" w:color="FFFFFF"/>
              <w:right w:val="single" w:sz="4" w:space="0" w:color="FFFFFF"/>
            </w:tcBorders>
            <w:shd w:val="clear" w:color="000000" w:fill="FF7D67"/>
            <w:noWrap/>
            <w:vAlign w:val="bottom"/>
            <w:hideMark/>
          </w:tcPr>
          <w:p w14:paraId="39BA8376" w14:textId="77777777" w:rsidR="0071092C" w:rsidRPr="0071092C" w:rsidRDefault="0071092C" w:rsidP="0071092C">
            <w:pPr>
              <w:spacing w:after="0" w:line="240" w:lineRule="auto"/>
              <w:jc w:val="center"/>
              <w:rPr>
                <w:rFonts w:ascii="Arial" w:eastAsia="Times New Roman" w:hAnsi="Arial" w:cs="Arial"/>
                <w:b/>
                <w:bCs/>
                <w:color w:val="000000"/>
                <w:sz w:val="20"/>
                <w:szCs w:val="20"/>
                <w:lang w:val="en-GB" w:eastAsia="en-GB"/>
              </w:rPr>
            </w:pPr>
            <w:r w:rsidRPr="0071092C">
              <w:rPr>
                <w:rFonts w:ascii="Arial" w:eastAsia="Times New Roman" w:hAnsi="Arial" w:cs="Arial"/>
                <w:b/>
                <w:bCs/>
                <w:color w:val="000000"/>
                <w:sz w:val="20"/>
                <w:szCs w:val="20"/>
                <w:lang w:val="en-GB" w:eastAsia="en-GB"/>
              </w:rPr>
              <w:t>No</w:t>
            </w:r>
          </w:p>
        </w:tc>
        <w:tc>
          <w:tcPr>
            <w:tcW w:w="1720" w:type="dxa"/>
            <w:tcBorders>
              <w:top w:val="nil"/>
              <w:left w:val="single" w:sz="4" w:space="0" w:color="auto"/>
              <w:bottom w:val="single" w:sz="4" w:space="0" w:color="FFFFFF"/>
              <w:right w:val="single" w:sz="4" w:space="0" w:color="FFFFFF"/>
            </w:tcBorders>
            <w:shd w:val="clear" w:color="000000" w:fill="FFFFFF"/>
            <w:noWrap/>
            <w:vAlign w:val="bottom"/>
            <w:hideMark/>
          </w:tcPr>
          <w:p w14:paraId="43521E95" w14:textId="77777777" w:rsidR="0071092C" w:rsidRPr="0071092C" w:rsidRDefault="0071092C" w:rsidP="0071092C">
            <w:pPr>
              <w:spacing w:after="0" w:line="240" w:lineRule="auto"/>
              <w:jc w:val="center"/>
              <w:rPr>
                <w:rFonts w:ascii="Arial" w:eastAsia="Times New Roman" w:hAnsi="Arial" w:cs="Arial"/>
                <w:color w:val="757171"/>
                <w:sz w:val="20"/>
                <w:szCs w:val="20"/>
                <w:lang w:val="en-GB" w:eastAsia="en-GB"/>
              </w:rPr>
            </w:pPr>
            <w:r w:rsidRPr="0071092C">
              <w:rPr>
                <w:rFonts w:ascii="Arial" w:eastAsia="Times New Roman" w:hAnsi="Arial" w:cs="Arial"/>
                <w:color w:val="757171"/>
                <w:sz w:val="20"/>
                <w:szCs w:val="20"/>
                <w:lang w:val="en-GB" w:eastAsia="en-GB"/>
              </w:rPr>
              <w:t>121</w:t>
            </w:r>
          </w:p>
        </w:tc>
        <w:tc>
          <w:tcPr>
            <w:tcW w:w="1740" w:type="dxa"/>
            <w:tcBorders>
              <w:top w:val="nil"/>
              <w:left w:val="nil"/>
              <w:bottom w:val="single" w:sz="4" w:space="0" w:color="FFFFFF"/>
              <w:right w:val="single" w:sz="4" w:space="0" w:color="auto"/>
            </w:tcBorders>
            <w:shd w:val="clear" w:color="000000" w:fill="FFFFFF"/>
            <w:noWrap/>
            <w:vAlign w:val="bottom"/>
            <w:hideMark/>
          </w:tcPr>
          <w:p w14:paraId="406C165E" w14:textId="77777777" w:rsidR="0071092C" w:rsidRPr="0071092C" w:rsidRDefault="0071092C" w:rsidP="0071092C">
            <w:pPr>
              <w:spacing w:after="0" w:line="240" w:lineRule="auto"/>
              <w:jc w:val="center"/>
              <w:rPr>
                <w:rFonts w:ascii="Arial" w:eastAsia="Times New Roman" w:hAnsi="Arial" w:cs="Arial"/>
                <w:color w:val="757171"/>
                <w:sz w:val="20"/>
                <w:szCs w:val="20"/>
                <w:lang w:val="en-GB" w:eastAsia="en-GB"/>
              </w:rPr>
            </w:pPr>
            <w:r w:rsidRPr="0071092C">
              <w:rPr>
                <w:rFonts w:ascii="Arial" w:eastAsia="Times New Roman" w:hAnsi="Arial" w:cs="Arial"/>
                <w:color w:val="757171"/>
                <w:sz w:val="20"/>
                <w:szCs w:val="20"/>
                <w:lang w:val="en-GB" w:eastAsia="en-GB"/>
              </w:rPr>
              <w:t>39%</w:t>
            </w:r>
          </w:p>
        </w:tc>
        <w:tc>
          <w:tcPr>
            <w:tcW w:w="1120" w:type="dxa"/>
            <w:tcBorders>
              <w:top w:val="nil"/>
              <w:left w:val="single" w:sz="4" w:space="0" w:color="FFFFFF"/>
              <w:bottom w:val="single" w:sz="4" w:space="0" w:color="FFFFFF"/>
              <w:right w:val="single" w:sz="4" w:space="0" w:color="FFFFFF"/>
            </w:tcBorders>
            <w:shd w:val="clear" w:color="000000" w:fill="FFFFFF"/>
            <w:noWrap/>
            <w:vAlign w:val="bottom"/>
            <w:hideMark/>
          </w:tcPr>
          <w:p w14:paraId="0DA2DEA1" w14:textId="77777777" w:rsidR="0071092C" w:rsidRPr="0071092C" w:rsidRDefault="0071092C" w:rsidP="0071092C">
            <w:pPr>
              <w:spacing w:after="0" w:line="240" w:lineRule="auto"/>
              <w:jc w:val="center"/>
              <w:rPr>
                <w:rFonts w:ascii="Arial" w:eastAsia="Times New Roman" w:hAnsi="Arial" w:cs="Arial"/>
                <w:color w:val="757171"/>
                <w:sz w:val="20"/>
                <w:szCs w:val="20"/>
                <w:lang w:val="en-GB" w:eastAsia="en-GB"/>
              </w:rPr>
            </w:pPr>
            <w:r w:rsidRPr="0071092C">
              <w:rPr>
                <w:rFonts w:ascii="Arial" w:eastAsia="Times New Roman" w:hAnsi="Arial" w:cs="Arial"/>
                <w:color w:val="757171"/>
                <w:sz w:val="20"/>
                <w:szCs w:val="20"/>
                <w:lang w:val="en-GB" w:eastAsia="en-GB"/>
              </w:rPr>
              <w:t>198</w:t>
            </w:r>
          </w:p>
        </w:tc>
        <w:tc>
          <w:tcPr>
            <w:tcW w:w="2160" w:type="dxa"/>
            <w:tcBorders>
              <w:top w:val="nil"/>
              <w:left w:val="nil"/>
              <w:bottom w:val="single" w:sz="4" w:space="0" w:color="FFFFFF"/>
              <w:right w:val="single" w:sz="4" w:space="0" w:color="FFFFFF"/>
            </w:tcBorders>
            <w:shd w:val="clear" w:color="000000" w:fill="FFFFFF"/>
            <w:noWrap/>
            <w:vAlign w:val="bottom"/>
            <w:hideMark/>
          </w:tcPr>
          <w:p w14:paraId="3C438F18" w14:textId="77777777" w:rsidR="0071092C" w:rsidRPr="0071092C" w:rsidRDefault="0071092C" w:rsidP="0071092C">
            <w:pPr>
              <w:spacing w:after="0" w:line="240" w:lineRule="auto"/>
              <w:jc w:val="center"/>
              <w:rPr>
                <w:rFonts w:ascii="Arial" w:eastAsia="Times New Roman" w:hAnsi="Arial" w:cs="Arial"/>
                <w:color w:val="757171"/>
                <w:sz w:val="20"/>
                <w:szCs w:val="20"/>
                <w:lang w:val="en-GB" w:eastAsia="en-GB"/>
              </w:rPr>
            </w:pPr>
            <w:r w:rsidRPr="0071092C">
              <w:rPr>
                <w:rFonts w:ascii="Arial" w:eastAsia="Times New Roman" w:hAnsi="Arial" w:cs="Arial"/>
                <w:color w:val="757171"/>
                <w:sz w:val="20"/>
                <w:szCs w:val="20"/>
                <w:lang w:val="en-GB" w:eastAsia="en-GB"/>
              </w:rPr>
              <w:t>63%</w:t>
            </w:r>
          </w:p>
        </w:tc>
      </w:tr>
      <w:tr w:rsidR="0071092C" w:rsidRPr="0071092C" w14:paraId="46274DE0" w14:textId="77777777" w:rsidTr="0022225B">
        <w:trPr>
          <w:trHeight w:val="255"/>
          <w:jc w:val="center"/>
        </w:trPr>
        <w:tc>
          <w:tcPr>
            <w:tcW w:w="1560" w:type="dxa"/>
            <w:tcBorders>
              <w:top w:val="single" w:sz="4" w:space="0" w:color="757171"/>
              <w:left w:val="single" w:sz="4" w:space="0" w:color="757171"/>
              <w:bottom w:val="single" w:sz="4" w:space="0" w:color="757171"/>
              <w:right w:val="single" w:sz="4" w:space="0" w:color="757171"/>
            </w:tcBorders>
            <w:shd w:val="clear" w:color="FFFFFF" w:fill="F2F2F2"/>
            <w:noWrap/>
            <w:vAlign w:val="bottom"/>
            <w:hideMark/>
          </w:tcPr>
          <w:p w14:paraId="43B44FF9" w14:textId="77777777" w:rsidR="0071092C" w:rsidRPr="0071092C" w:rsidRDefault="0071092C" w:rsidP="0071092C">
            <w:pPr>
              <w:spacing w:after="0" w:line="240" w:lineRule="auto"/>
              <w:jc w:val="center"/>
              <w:rPr>
                <w:rFonts w:ascii="Arial" w:eastAsia="Times New Roman" w:hAnsi="Arial" w:cs="Arial"/>
                <w:b/>
                <w:bCs/>
                <w:color w:val="000000"/>
                <w:sz w:val="20"/>
                <w:szCs w:val="20"/>
                <w:lang w:val="en-GB" w:eastAsia="en-GB"/>
              </w:rPr>
            </w:pPr>
            <w:r w:rsidRPr="0071092C">
              <w:rPr>
                <w:rFonts w:ascii="Arial" w:eastAsia="Times New Roman" w:hAnsi="Arial" w:cs="Arial"/>
                <w:b/>
                <w:bCs/>
                <w:color w:val="000000"/>
                <w:sz w:val="20"/>
                <w:szCs w:val="20"/>
                <w:lang w:val="en-GB" w:eastAsia="en-GB"/>
              </w:rPr>
              <w:t>Total</w:t>
            </w:r>
          </w:p>
        </w:tc>
        <w:tc>
          <w:tcPr>
            <w:tcW w:w="1720" w:type="dxa"/>
            <w:tcBorders>
              <w:top w:val="single" w:sz="4" w:space="0" w:color="757171"/>
              <w:left w:val="single" w:sz="4" w:space="0" w:color="auto"/>
              <w:bottom w:val="single" w:sz="4" w:space="0" w:color="757171"/>
              <w:right w:val="single" w:sz="4" w:space="0" w:color="FFFFFF"/>
            </w:tcBorders>
            <w:shd w:val="clear" w:color="000000" w:fill="FFFFFF"/>
            <w:noWrap/>
            <w:vAlign w:val="bottom"/>
            <w:hideMark/>
          </w:tcPr>
          <w:p w14:paraId="776CEE9A" w14:textId="77777777" w:rsidR="0071092C" w:rsidRPr="0071092C" w:rsidRDefault="0071092C" w:rsidP="0071092C">
            <w:pPr>
              <w:spacing w:after="0" w:line="240" w:lineRule="auto"/>
              <w:jc w:val="center"/>
              <w:rPr>
                <w:rFonts w:ascii="Arial" w:eastAsia="Times New Roman" w:hAnsi="Arial" w:cs="Arial"/>
                <w:b/>
                <w:bCs/>
                <w:color w:val="000000"/>
                <w:sz w:val="20"/>
                <w:szCs w:val="20"/>
                <w:lang w:val="en-GB" w:eastAsia="en-GB"/>
              </w:rPr>
            </w:pPr>
            <w:r w:rsidRPr="0071092C">
              <w:rPr>
                <w:rFonts w:ascii="Arial" w:eastAsia="Times New Roman" w:hAnsi="Arial" w:cs="Arial"/>
                <w:b/>
                <w:bCs/>
                <w:color w:val="000000"/>
                <w:sz w:val="20"/>
                <w:szCs w:val="20"/>
                <w:lang w:val="en-GB" w:eastAsia="en-GB"/>
              </w:rPr>
              <w:t>313</w:t>
            </w:r>
          </w:p>
        </w:tc>
        <w:tc>
          <w:tcPr>
            <w:tcW w:w="1740" w:type="dxa"/>
            <w:tcBorders>
              <w:top w:val="single" w:sz="4" w:space="0" w:color="757171"/>
              <w:left w:val="single" w:sz="4" w:space="0" w:color="FFFFFF"/>
              <w:bottom w:val="single" w:sz="4" w:space="0" w:color="757171"/>
              <w:right w:val="single" w:sz="4" w:space="0" w:color="auto"/>
            </w:tcBorders>
            <w:shd w:val="clear" w:color="000000" w:fill="FFFFFF"/>
            <w:noWrap/>
            <w:vAlign w:val="bottom"/>
            <w:hideMark/>
          </w:tcPr>
          <w:p w14:paraId="290A8069" w14:textId="77777777" w:rsidR="0071092C" w:rsidRPr="0071092C" w:rsidRDefault="0071092C" w:rsidP="0071092C">
            <w:pPr>
              <w:spacing w:after="0" w:line="240" w:lineRule="auto"/>
              <w:jc w:val="center"/>
              <w:rPr>
                <w:rFonts w:ascii="Arial" w:eastAsia="Times New Roman" w:hAnsi="Arial" w:cs="Arial"/>
                <w:b/>
                <w:bCs/>
                <w:color w:val="000000"/>
                <w:sz w:val="20"/>
                <w:szCs w:val="20"/>
                <w:lang w:val="en-GB" w:eastAsia="en-GB"/>
              </w:rPr>
            </w:pPr>
            <w:r w:rsidRPr="0071092C">
              <w:rPr>
                <w:rFonts w:ascii="Arial" w:eastAsia="Times New Roman" w:hAnsi="Arial" w:cs="Arial"/>
                <w:b/>
                <w:bCs/>
                <w:color w:val="000000"/>
                <w:sz w:val="20"/>
                <w:szCs w:val="20"/>
                <w:lang w:val="en-GB" w:eastAsia="en-GB"/>
              </w:rPr>
              <w:t>100%</w:t>
            </w:r>
          </w:p>
        </w:tc>
        <w:tc>
          <w:tcPr>
            <w:tcW w:w="1120" w:type="dxa"/>
            <w:tcBorders>
              <w:top w:val="single" w:sz="4" w:space="0" w:color="757171"/>
              <w:left w:val="single" w:sz="4" w:space="0" w:color="FFFFFF"/>
              <w:bottom w:val="single" w:sz="4" w:space="0" w:color="757171"/>
              <w:right w:val="single" w:sz="4" w:space="0" w:color="FFFFFF"/>
            </w:tcBorders>
            <w:shd w:val="clear" w:color="000000" w:fill="FFFFFF"/>
            <w:noWrap/>
            <w:vAlign w:val="bottom"/>
            <w:hideMark/>
          </w:tcPr>
          <w:p w14:paraId="12ECF65E" w14:textId="77777777" w:rsidR="0071092C" w:rsidRPr="0071092C" w:rsidRDefault="0071092C" w:rsidP="0071092C">
            <w:pPr>
              <w:spacing w:after="0" w:line="240" w:lineRule="auto"/>
              <w:jc w:val="center"/>
              <w:rPr>
                <w:rFonts w:ascii="Arial" w:eastAsia="Times New Roman" w:hAnsi="Arial" w:cs="Arial"/>
                <w:b/>
                <w:bCs/>
                <w:color w:val="000000"/>
                <w:sz w:val="20"/>
                <w:szCs w:val="20"/>
                <w:lang w:val="en-GB" w:eastAsia="en-GB"/>
              </w:rPr>
            </w:pPr>
            <w:r w:rsidRPr="0071092C">
              <w:rPr>
                <w:rFonts w:ascii="Arial" w:eastAsia="Times New Roman" w:hAnsi="Arial" w:cs="Arial"/>
                <w:b/>
                <w:bCs/>
                <w:color w:val="000000"/>
                <w:sz w:val="20"/>
                <w:szCs w:val="20"/>
                <w:lang w:val="en-GB" w:eastAsia="en-GB"/>
              </w:rPr>
              <w:t>313</w:t>
            </w:r>
          </w:p>
        </w:tc>
        <w:tc>
          <w:tcPr>
            <w:tcW w:w="2160" w:type="dxa"/>
            <w:tcBorders>
              <w:top w:val="single" w:sz="4" w:space="0" w:color="757171"/>
              <w:left w:val="single" w:sz="4" w:space="0" w:color="FFFFFF"/>
              <w:bottom w:val="single" w:sz="4" w:space="0" w:color="757171"/>
              <w:right w:val="single" w:sz="4" w:space="0" w:color="757171"/>
            </w:tcBorders>
            <w:shd w:val="clear" w:color="000000" w:fill="FFFFFF"/>
            <w:noWrap/>
            <w:vAlign w:val="bottom"/>
            <w:hideMark/>
          </w:tcPr>
          <w:p w14:paraId="27B42CCC" w14:textId="77777777" w:rsidR="0071092C" w:rsidRPr="0071092C" w:rsidRDefault="0071092C" w:rsidP="0071092C">
            <w:pPr>
              <w:spacing w:after="0" w:line="240" w:lineRule="auto"/>
              <w:jc w:val="center"/>
              <w:rPr>
                <w:rFonts w:ascii="Arial" w:eastAsia="Times New Roman" w:hAnsi="Arial" w:cs="Arial"/>
                <w:b/>
                <w:bCs/>
                <w:color w:val="000000"/>
                <w:sz w:val="20"/>
                <w:szCs w:val="20"/>
                <w:lang w:val="en-GB" w:eastAsia="en-GB"/>
              </w:rPr>
            </w:pPr>
            <w:r w:rsidRPr="0071092C">
              <w:rPr>
                <w:rFonts w:ascii="Arial" w:eastAsia="Times New Roman" w:hAnsi="Arial" w:cs="Arial"/>
                <w:b/>
                <w:bCs/>
                <w:color w:val="000000"/>
                <w:sz w:val="20"/>
                <w:szCs w:val="20"/>
                <w:lang w:val="en-GB" w:eastAsia="en-GB"/>
              </w:rPr>
              <w:t>100%</w:t>
            </w:r>
          </w:p>
        </w:tc>
      </w:tr>
    </w:tbl>
    <w:p w14:paraId="2D1F93D8" w14:textId="2DA9AF7A" w:rsidR="0071092C" w:rsidRPr="0071092C" w:rsidRDefault="0071092C" w:rsidP="0071092C">
      <w:pPr>
        <w:pStyle w:val="Caption"/>
      </w:pPr>
      <w:bookmarkStart w:id="121" w:name="_Toc512556873"/>
      <w:r>
        <w:t xml:space="preserve">Table </w:t>
      </w:r>
      <w:r>
        <w:fldChar w:fldCharType="begin"/>
      </w:r>
      <w:r>
        <w:instrText xml:space="preserve"> SEQ Table \* ARABIC </w:instrText>
      </w:r>
      <w:r>
        <w:fldChar w:fldCharType="separate"/>
      </w:r>
      <w:r w:rsidR="0099156B">
        <w:rPr>
          <w:noProof/>
        </w:rPr>
        <w:t>16</w:t>
      </w:r>
      <w:r>
        <w:fldChar w:fldCharType="end"/>
      </w:r>
      <w:r>
        <w:t xml:space="preserve"> – Licensing authorities’ policy on WAV Only licenses and Awareness Training</w:t>
      </w:r>
      <w:bookmarkEnd w:id="121"/>
    </w:p>
    <w:p w14:paraId="5AFCBB80" w14:textId="77777777" w:rsidR="009966EF" w:rsidRDefault="009966EF">
      <w:pPr>
        <w:spacing w:after="0" w:line="240" w:lineRule="auto"/>
        <w:jc w:val="left"/>
      </w:pPr>
    </w:p>
    <w:p w14:paraId="571B36C7" w14:textId="000BAD1C" w:rsidR="0071092C" w:rsidRDefault="0071092C">
      <w:pPr>
        <w:spacing w:after="0" w:line="240" w:lineRule="auto"/>
        <w:jc w:val="left"/>
      </w:pPr>
      <w:r>
        <w:t>Less than two thirds of licensing authorities require some or all licensed taxis to be wheelchair accessible. Just over a third require taxi drivers to undergo disability awareness training.</w:t>
      </w:r>
    </w:p>
    <w:p w14:paraId="6FD601B0" w14:textId="77777777" w:rsidR="009966EF" w:rsidRDefault="009966EF">
      <w:pPr>
        <w:spacing w:after="0" w:line="240" w:lineRule="auto"/>
        <w:jc w:val="left"/>
      </w:pPr>
    </w:p>
    <w:tbl>
      <w:tblPr>
        <w:tblW w:w="5720" w:type="dxa"/>
        <w:jc w:val="center"/>
        <w:tblLook w:val="04A0" w:firstRow="1" w:lastRow="0" w:firstColumn="1" w:lastColumn="0" w:noHBand="0" w:noVBand="1"/>
      </w:tblPr>
      <w:tblGrid>
        <w:gridCol w:w="1480"/>
        <w:gridCol w:w="1380"/>
        <w:gridCol w:w="1420"/>
        <w:gridCol w:w="1440"/>
      </w:tblGrid>
      <w:tr w:rsidR="0071092C" w:rsidRPr="0071092C" w14:paraId="57933B46" w14:textId="77777777" w:rsidTr="0022225B">
        <w:trPr>
          <w:trHeight w:val="255"/>
          <w:jc w:val="center"/>
        </w:trPr>
        <w:tc>
          <w:tcPr>
            <w:tcW w:w="1480" w:type="dxa"/>
            <w:tcBorders>
              <w:top w:val="single" w:sz="4" w:space="0" w:color="757171"/>
              <w:left w:val="single" w:sz="4" w:space="0" w:color="757171"/>
              <w:bottom w:val="single" w:sz="4" w:space="0" w:color="757171"/>
              <w:right w:val="single" w:sz="4" w:space="0" w:color="757171"/>
            </w:tcBorders>
            <w:shd w:val="clear" w:color="000000" w:fill="FFFFFF"/>
            <w:noWrap/>
            <w:vAlign w:val="bottom"/>
            <w:hideMark/>
          </w:tcPr>
          <w:p w14:paraId="276C0085" w14:textId="77777777" w:rsidR="0071092C" w:rsidRPr="0071092C" w:rsidRDefault="0071092C" w:rsidP="0071092C">
            <w:pPr>
              <w:spacing w:after="0" w:line="240" w:lineRule="auto"/>
              <w:jc w:val="center"/>
              <w:rPr>
                <w:rFonts w:ascii="Arial" w:eastAsia="Times New Roman" w:hAnsi="Arial" w:cs="Arial"/>
                <w:b/>
                <w:bCs/>
                <w:color w:val="000000"/>
                <w:sz w:val="20"/>
                <w:szCs w:val="20"/>
                <w:lang w:val="en-GB" w:eastAsia="en-GB"/>
              </w:rPr>
            </w:pPr>
            <w:r w:rsidRPr="0071092C">
              <w:rPr>
                <w:rFonts w:ascii="Arial" w:eastAsia="Times New Roman" w:hAnsi="Arial" w:cs="Arial"/>
                <w:b/>
                <w:bCs/>
                <w:color w:val="000000"/>
                <w:sz w:val="20"/>
                <w:szCs w:val="20"/>
                <w:lang w:val="en-GB" w:eastAsia="en-GB"/>
              </w:rPr>
              <w:t>WAV only</w:t>
            </w:r>
          </w:p>
        </w:tc>
        <w:tc>
          <w:tcPr>
            <w:tcW w:w="1380" w:type="dxa"/>
            <w:tcBorders>
              <w:top w:val="single" w:sz="4" w:space="0" w:color="757171"/>
              <w:left w:val="single" w:sz="4" w:space="0" w:color="FFFFFF"/>
              <w:bottom w:val="single" w:sz="4" w:space="0" w:color="757171"/>
              <w:right w:val="single" w:sz="4" w:space="0" w:color="FFFFFF"/>
            </w:tcBorders>
            <w:shd w:val="clear" w:color="000000" w:fill="FFFFFF"/>
            <w:noWrap/>
            <w:vAlign w:val="bottom"/>
            <w:hideMark/>
          </w:tcPr>
          <w:p w14:paraId="755CB319" w14:textId="77777777" w:rsidR="0071092C" w:rsidRPr="0071092C" w:rsidRDefault="0071092C" w:rsidP="0071092C">
            <w:pPr>
              <w:spacing w:after="0" w:line="240" w:lineRule="auto"/>
              <w:jc w:val="center"/>
              <w:rPr>
                <w:rFonts w:ascii="Arial" w:eastAsia="Times New Roman" w:hAnsi="Arial" w:cs="Arial"/>
                <w:b/>
                <w:bCs/>
                <w:color w:val="000000"/>
                <w:sz w:val="20"/>
                <w:szCs w:val="20"/>
                <w:lang w:val="en-GB" w:eastAsia="en-GB"/>
              </w:rPr>
            </w:pPr>
            <w:r w:rsidRPr="0071092C">
              <w:rPr>
                <w:rFonts w:ascii="Arial" w:eastAsia="Times New Roman" w:hAnsi="Arial" w:cs="Arial"/>
                <w:b/>
                <w:bCs/>
                <w:color w:val="000000"/>
                <w:sz w:val="20"/>
                <w:szCs w:val="20"/>
                <w:lang w:val="en-GB" w:eastAsia="en-GB"/>
              </w:rPr>
              <w:t>2015</w:t>
            </w:r>
          </w:p>
        </w:tc>
        <w:tc>
          <w:tcPr>
            <w:tcW w:w="1420" w:type="dxa"/>
            <w:tcBorders>
              <w:top w:val="single" w:sz="4" w:space="0" w:color="757171"/>
              <w:left w:val="single" w:sz="4" w:space="0" w:color="FFFFFF"/>
              <w:bottom w:val="single" w:sz="4" w:space="0" w:color="757171"/>
              <w:right w:val="single" w:sz="4" w:space="0" w:color="FFFFFF"/>
            </w:tcBorders>
            <w:shd w:val="clear" w:color="000000" w:fill="FFFFFF"/>
            <w:noWrap/>
            <w:vAlign w:val="bottom"/>
            <w:hideMark/>
          </w:tcPr>
          <w:p w14:paraId="004FBC8C" w14:textId="77777777" w:rsidR="0071092C" w:rsidRPr="0071092C" w:rsidRDefault="0071092C" w:rsidP="0071092C">
            <w:pPr>
              <w:spacing w:after="0" w:line="240" w:lineRule="auto"/>
              <w:jc w:val="center"/>
              <w:rPr>
                <w:rFonts w:ascii="Arial" w:eastAsia="Times New Roman" w:hAnsi="Arial" w:cs="Arial"/>
                <w:b/>
                <w:bCs/>
                <w:color w:val="000000"/>
                <w:sz w:val="20"/>
                <w:szCs w:val="20"/>
                <w:lang w:val="en-GB" w:eastAsia="en-GB"/>
              </w:rPr>
            </w:pPr>
            <w:r w:rsidRPr="0071092C">
              <w:rPr>
                <w:rFonts w:ascii="Arial" w:eastAsia="Times New Roman" w:hAnsi="Arial" w:cs="Arial"/>
                <w:b/>
                <w:bCs/>
                <w:color w:val="000000"/>
                <w:sz w:val="20"/>
                <w:szCs w:val="20"/>
                <w:lang w:val="en-GB" w:eastAsia="en-GB"/>
              </w:rPr>
              <w:t>2017</w:t>
            </w:r>
          </w:p>
        </w:tc>
        <w:tc>
          <w:tcPr>
            <w:tcW w:w="1440" w:type="dxa"/>
            <w:tcBorders>
              <w:top w:val="single" w:sz="4" w:space="0" w:color="757171"/>
              <w:left w:val="single" w:sz="4" w:space="0" w:color="FFFFFF"/>
              <w:bottom w:val="single" w:sz="4" w:space="0" w:color="757171"/>
              <w:right w:val="single" w:sz="4" w:space="0" w:color="757171"/>
            </w:tcBorders>
            <w:shd w:val="clear" w:color="000000" w:fill="FFFFFF"/>
            <w:noWrap/>
            <w:vAlign w:val="bottom"/>
            <w:hideMark/>
          </w:tcPr>
          <w:p w14:paraId="0E010115" w14:textId="77777777" w:rsidR="0071092C" w:rsidRPr="0071092C" w:rsidRDefault="0071092C" w:rsidP="0071092C">
            <w:pPr>
              <w:spacing w:after="0" w:line="240" w:lineRule="auto"/>
              <w:jc w:val="center"/>
              <w:rPr>
                <w:rFonts w:ascii="Arial" w:eastAsia="Times New Roman" w:hAnsi="Arial" w:cs="Arial"/>
                <w:b/>
                <w:bCs/>
                <w:color w:val="000000"/>
                <w:sz w:val="20"/>
                <w:szCs w:val="20"/>
                <w:lang w:val="en-GB" w:eastAsia="en-GB"/>
              </w:rPr>
            </w:pPr>
            <w:r w:rsidRPr="0071092C">
              <w:rPr>
                <w:rFonts w:ascii="Arial" w:eastAsia="Times New Roman" w:hAnsi="Arial" w:cs="Arial"/>
                <w:b/>
                <w:bCs/>
                <w:color w:val="000000"/>
                <w:sz w:val="20"/>
                <w:szCs w:val="20"/>
                <w:lang w:val="en-GB" w:eastAsia="en-GB"/>
              </w:rPr>
              <w:t>Change</w:t>
            </w:r>
          </w:p>
        </w:tc>
      </w:tr>
      <w:tr w:rsidR="0071092C" w:rsidRPr="0071092C" w14:paraId="09174D9B" w14:textId="77777777" w:rsidTr="0022225B">
        <w:trPr>
          <w:trHeight w:val="255"/>
          <w:jc w:val="center"/>
        </w:trPr>
        <w:tc>
          <w:tcPr>
            <w:tcW w:w="1480" w:type="dxa"/>
            <w:tcBorders>
              <w:top w:val="single" w:sz="4" w:space="0" w:color="FFFFFF"/>
              <w:left w:val="single" w:sz="4" w:space="0" w:color="FFFFFF"/>
              <w:bottom w:val="single" w:sz="4" w:space="0" w:color="FFFFFF"/>
              <w:right w:val="single" w:sz="4" w:space="0" w:color="FFFFFF"/>
            </w:tcBorders>
            <w:shd w:val="clear" w:color="000000" w:fill="99BD66"/>
            <w:noWrap/>
            <w:vAlign w:val="bottom"/>
            <w:hideMark/>
          </w:tcPr>
          <w:p w14:paraId="4655E0ED" w14:textId="77777777" w:rsidR="0071092C" w:rsidRPr="0071092C" w:rsidRDefault="0071092C" w:rsidP="0071092C">
            <w:pPr>
              <w:spacing w:after="0" w:line="240" w:lineRule="auto"/>
              <w:jc w:val="center"/>
              <w:rPr>
                <w:rFonts w:ascii="Arial" w:eastAsia="Times New Roman" w:hAnsi="Arial" w:cs="Arial"/>
                <w:b/>
                <w:bCs/>
                <w:color w:val="000000"/>
                <w:sz w:val="20"/>
                <w:szCs w:val="20"/>
                <w:lang w:val="en-GB" w:eastAsia="en-GB"/>
              </w:rPr>
            </w:pPr>
            <w:r w:rsidRPr="0071092C">
              <w:rPr>
                <w:rFonts w:ascii="Arial" w:eastAsia="Times New Roman" w:hAnsi="Arial" w:cs="Arial"/>
                <w:b/>
                <w:bCs/>
                <w:color w:val="000000"/>
                <w:sz w:val="20"/>
                <w:szCs w:val="20"/>
                <w:lang w:val="en-GB" w:eastAsia="en-GB"/>
              </w:rPr>
              <w:t>Yes</w:t>
            </w:r>
          </w:p>
        </w:tc>
        <w:tc>
          <w:tcPr>
            <w:tcW w:w="1380" w:type="dxa"/>
            <w:tcBorders>
              <w:top w:val="single" w:sz="4" w:space="0" w:color="FFFFFF"/>
              <w:left w:val="single" w:sz="4" w:space="0" w:color="FFFFFF"/>
              <w:bottom w:val="single" w:sz="4" w:space="0" w:color="FFFFFF"/>
              <w:right w:val="single" w:sz="4" w:space="0" w:color="FFFFFF"/>
            </w:tcBorders>
            <w:shd w:val="clear" w:color="000000" w:fill="FFFFFF"/>
            <w:noWrap/>
            <w:vAlign w:val="bottom"/>
            <w:hideMark/>
          </w:tcPr>
          <w:p w14:paraId="67A2B0BF" w14:textId="77777777" w:rsidR="0071092C" w:rsidRPr="0071092C" w:rsidRDefault="0071092C" w:rsidP="0071092C">
            <w:pPr>
              <w:spacing w:after="0" w:line="240" w:lineRule="auto"/>
              <w:jc w:val="center"/>
              <w:rPr>
                <w:rFonts w:ascii="Arial" w:eastAsia="Times New Roman" w:hAnsi="Arial" w:cs="Arial"/>
                <w:color w:val="757171"/>
                <w:sz w:val="20"/>
                <w:szCs w:val="20"/>
                <w:lang w:val="en-GB" w:eastAsia="en-GB"/>
              </w:rPr>
            </w:pPr>
            <w:r w:rsidRPr="0071092C">
              <w:rPr>
                <w:rFonts w:ascii="Arial" w:eastAsia="Times New Roman" w:hAnsi="Arial" w:cs="Arial"/>
                <w:color w:val="757171"/>
                <w:sz w:val="20"/>
                <w:szCs w:val="20"/>
                <w:lang w:val="en-GB" w:eastAsia="en-GB"/>
              </w:rPr>
              <w:t>185</w:t>
            </w:r>
          </w:p>
        </w:tc>
        <w:tc>
          <w:tcPr>
            <w:tcW w:w="1420" w:type="dxa"/>
            <w:tcBorders>
              <w:top w:val="single" w:sz="4" w:space="0" w:color="FFFFFF"/>
              <w:left w:val="single" w:sz="4" w:space="0" w:color="FFFFFF"/>
              <w:bottom w:val="single" w:sz="4" w:space="0" w:color="FFFFFF"/>
              <w:right w:val="single" w:sz="4" w:space="0" w:color="FFFFFF"/>
            </w:tcBorders>
            <w:shd w:val="clear" w:color="000000" w:fill="FFFFFF"/>
            <w:noWrap/>
            <w:vAlign w:val="bottom"/>
            <w:hideMark/>
          </w:tcPr>
          <w:p w14:paraId="6763889E" w14:textId="77777777" w:rsidR="0071092C" w:rsidRPr="0071092C" w:rsidRDefault="0071092C" w:rsidP="0071092C">
            <w:pPr>
              <w:spacing w:after="0" w:line="240" w:lineRule="auto"/>
              <w:jc w:val="center"/>
              <w:rPr>
                <w:rFonts w:ascii="Arial" w:eastAsia="Times New Roman" w:hAnsi="Arial" w:cs="Arial"/>
                <w:color w:val="757171"/>
                <w:sz w:val="20"/>
                <w:szCs w:val="20"/>
                <w:lang w:val="en-GB" w:eastAsia="en-GB"/>
              </w:rPr>
            </w:pPr>
            <w:r w:rsidRPr="0071092C">
              <w:rPr>
                <w:rFonts w:ascii="Arial" w:eastAsia="Times New Roman" w:hAnsi="Arial" w:cs="Arial"/>
                <w:color w:val="757171"/>
                <w:sz w:val="20"/>
                <w:szCs w:val="20"/>
                <w:lang w:val="en-GB" w:eastAsia="en-GB"/>
              </w:rPr>
              <w:t>192</w:t>
            </w:r>
          </w:p>
        </w:tc>
        <w:tc>
          <w:tcPr>
            <w:tcW w:w="1440" w:type="dxa"/>
            <w:tcBorders>
              <w:top w:val="single" w:sz="4" w:space="0" w:color="FFFFFF"/>
              <w:left w:val="single" w:sz="4" w:space="0" w:color="FFFFFF"/>
              <w:bottom w:val="single" w:sz="4" w:space="0" w:color="FFFFFF"/>
              <w:right w:val="single" w:sz="4" w:space="0" w:color="FFFFFF"/>
            </w:tcBorders>
            <w:shd w:val="clear" w:color="000000" w:fill="FFFFFF"/>
            <w:noWrap/>
            <w:vAlign w:val="bottom"/>
            <w:hideMark/>
          </w:tcPr>
          <w:p w14:paraId="707D118D" w14:textId="77777777" w:rsidR="0071092C" w:rsidRPr="0071092C" w:rsidRDefault="0071092C" w:rsidP="0071092C">
            <w:pPr>
              <w:spacing w:after="0" w:line="240" w:lineRule="auto"/>
              <w:jc w:val="center"/>
              <w:rPr>
                <w:rFonts w:ascii="Arial" w:eastAsia="Times New Roman" w:hAnsi="Arial" w:cs="Arial"/>
                <w:color w:val="000000"/>
                <w:sz w:val="20"/>
                <w:szCs w:val="20"/>
                <w:lang w:val="en-GB" w:eastAsia="en-GB"/>
              </w:rPr>
            </w:pPr>
            <w:r w:rsidRPr="0071092C">
              <w:rPr>
                <w:rFonts w:ascii="Arial" w:eastAsia="Times New Roman" w:hAnsi="Arial" w:cs="Arial"/>
                <w:color w:val="000000"/>
                <w:sz w:val="20"/>
                <w:szCs w:val="20"/>
                <w:lang w:val="en-GB" w:eastAsia="en-GB"/>
              </w:rPr>
              <w:t>7</w:t>
            </w:r>
          </w:p>
        </w:tc>
      </w:tr>
      <w:tr w:rsidR="0071092C" w:rsidRPr="0071092C" w14:paraId="4438BBF2" w14:textId="77777777" w:rsidTr="0022225B">
        <w:trPr>
          <w:trHeight w:val="255"/>
          <w:jc w:val="center"/>
        </w:trPr>
        <w:tc>
          <w:tcPr>
            <w:tcW w:w="1480" w:type="dxa"/>
            <w:tcBorders>
              <w:top w:val="single" w:sz="4" w:space="0" w:color="FFFFFF"/>
              <w:left w:val="single" w:sz="4" w:space="0" w:color="FFFFFF"/>
              <w:bottom w:val="single" w:sz="4" w:space="0" w:color="FFFFFF"/>
              <w:right w:val="single" w:sz="4" w:space="0" w:color="FFFFFF"/>
            </w:tcBorders>
            <w:shd w:val="clear" w:color="000000" w:fill="FF7D67"/>
            <w:noWrap/>
            <w:vAlign w:val="bottom"/>
            <w:hideMark/>
          </w:tcPr>
          <w:p w14:paraId="5E08DEB1" w14:textId="77777777" w:rsidR="0071092C" w:rsidRPr="0071092C" w:rsidRDefault="0071092C" w:rsidP="0071092C">
            <w:pPr>
              <w:spacing w:after="0" w:line="240" w:lineRule="auto"/>
              <w:jc w:val="center"/>
              <w:rPr>
                <w:rFonts w:ascii="Arial" w:eastAsia="Times New Roman" w:hAnsi="Arial" w:cs="Arial"/>
                <w:b/>
                <w:bCs/>
                <w:color w:val="000000"/>
                <w:sz w:val="20"/>
                <w:szCs w:val="20"/>
                <w:lang w:val="en-GB" w:eastAsia="en-GB"/>
              </w:rPr>
            </w:pPr>
            <w:r w:rsidRPr="0071092C">
              <w:rPr>
                <w:rFonts w:ascii="Arial" w:eastAsia="Times New Roman" w:hAnsi="Arial" w:cs="Arial"/>
                <w:b/>
                <w:bCs/>
                <w:color w:val="000000"/>
                <w:sz w:val="20"/>
                <w:szCs w:val="20"/>
                <w:lang w:val="en-GB" w:eastAsia="en-GB"/>
              </w:rPr>
              <w:t>No</w:t>
            </w:r>
          </w:p>
        </w:tc>
        <w:tc>
          <w:tcPr>
            <w:tcW w:w="1380" w:type="dxa"/>
            <w:tcBorders>
              <w:top w:val="single" w:sz="4" w:space="0" w:color="FFFFFF"/>
              <w:left w:val="single" w:sz="4" w:space="0" w:color="FFFFFF"/>
              <w:bottom w:val="single" w:sz="4" w:space="0" w:color="FFFFFF"/>
              <w:right w:val="single" w:sz="4" w:space="0" w:color="FFFFFF"/>
            </w:tcBorders>
            <w:shd w:val="clear" w:color="000000" w:fill="FFFFFF"/>
            <w:noWrap/>
            <w:vAlign w:val="bottom"/>
            <w:hideMark/>
          </w:tcPr>
          <w:p w14:paraId="15540CA9" w14:textId="77777777" w:rsidR="0071092C" w:rsidRPr="0071092C" w:rsidRDefault="0071092C" w:rsidP="0071092C">
            <w:pPr>
              <w:spacing w:after="0" w:line="240" w:lineRule="auto"/>
              <w:jc w:val="center"/>
              <w:rPr>
                <w:rFonts w:ascii="Arial" w:eastAsia="Times New Roman" w:hAnsi="Arial" w:cs="Arial"/>
                <w:color w:val="757171"/>
                <w:sz w:val="20"/>
                <w:szCs w:val="20"/>
                <w:lang w:val="en-GB" w:eastAsia="en-GB"/>
              </w:rPr>
            </w:pPr>
            <w:r w:rsidRPr="0071092C">
              <w:rPr>
                <w:rFonts w:ascii="Arial" w:eastAsia="Times New Roman" w:hAnsi="Arial" w:cs="Arial"/>
                <w:color w:val="757171"/>
                <w:sz w:val="20"/>
                <w:szCs w:val="20"/>
                <w:lang w:val="en-GB" w:eastAsia="en-GB"/>
              </w:rPr>
              <w:t>130</w:t>
            </w:r>
          </w:p>
        </w:tc>
        <w:tc>
          <w:tcPr>
            <w:tcW w:w="1420" w:type="dxa"/>
            <w:tcBorders>
              <w:top w:val="single" w:sz="4" w:space="0" w:color="FFFFFF"/>
              <w:left w:val="single" w:sz="4" w:space="0" w:color="FFFFFF"/>
              <w:bottom w:val="single" w:sz="4" w:space="0" w:color="FFFFFF"/>
              <w:right w:val="single" w:sz="4" w:space="0" w:color="FFFFFF"/>
            </w:tcBorders>
            <w:shd w:val="clear" w:color="000000" w:fill="FFFFFF"/>
            <w:noWrap/>
            <w:vAlign w:val="bottom"/>
            <w:hideMark/>
          </w:tcPr>
          <w:p w14:paraId="5476797F" w14:textId="77777777" w:rsidR="0071092C" w:rsidRPr="0071092C" w:rsidRDefault="0071092C" w:rsidP="0071092C">
            <w:pPr>
              <w:spacing w:after="0" w:line="240" w:lineRule="auto"/>
              <w:jc w:val="center"/>
              <w:rPr>
                <w:rFonts w:ascii="Arial" w:eastAsia="Times New Roman" w:hAnsi="Arial" w:cs="Arial"/>
                <w:color w:val="757171"/>
                <w:sz w:val="20"/>
                <w:szCs w:val="20"/>
                <w:lang w:val="en-GB" w:eastAsia="en-GB"/>
              </w:rPr>
            </w:pPr>
            <w:r w:rsidRPr="0071092C">
              <w:rPr>
                <w:rFonts w:ascii="Arial" w:eastAsia="Times New Roman" w:hAnsi="Arial" w:cs="Arial"/>
                <w:color w:val="757171"/>
                <w:sz w:val="20"/>
                <w:szCs w:val="20"/>
                <w:lang w:val="en-GB" w:eastAsia="en-GB"/>
              </w:rPr>
              <w:t>121</w:t>
            </w:r>
          </w:p>
        </w:tc>
        <w:tc>
          <w:tcPr>
            <w:tcW w:w="1440" w:type="dxa"/>
            <w:tcBorders>
              <w:top w:val="single" w:sz="4" w:space="0" w:color="FFFFFF"/>
              <w:left w:val="single" w:sz="4" w:space="0" w:color="FFFFFF"/>
              <w:bottom w:val="single" w:sz="4" w:space="0" w:color="FFFFFF"/>
              <w:right w:val="single" w:sz="4" w:space="0" w:color="FFFFFF"/>
            </w:tcBorders>
            <w:shd w:val="clear" w:color="000000" w:fill="FFFFFF"/>
            <w:noWrap/>
            <w:vAlign w:val="bottom"/>
            <w:hideMark/>
          </w:tcPr>
          <w:p w14:paraId="601FEFA0" w14:textId="77777777" w:rsidR="0071092C" w:rsidRPr="0071092C" w:rsidRDefault="0071092C" w:rsidP="0071092C">
            <w:pPr>
              <w:spacing w:after="0" w:line="240" w:lineRule="auto"/>
              <w:jc w:val="center"/>
              <w:rPr>
                <w:rFonts w:ascii="Arial" w:eastAsia="Times New Roman" w:hAnsi="Arial" w:cs="Arial"/>
                <w:color w:val="757171"/>
                <w:sz w:val="20"/>
                <w:szCs w:val="20"/>
                <w:lang w:val="en-GB" w:eastAsia="en-GB"/>
              </w:rPr>
            </w:pPr>
          </w:p>
        </w:tc>
      </w:tr>
      <w:tr w:rsidR="0071092C" w:rsidRPr="0071092C" w14:paraId="0327197B" w14:textId="77777777" w:rsidTr="0022225B">
        <w:trPr>
          <w:trHeight w:val="255"/>
          <w:jc w:val="center"/>
        </w:trPr>
        <w:tc>
          <w:tcPr>
            <w:tcW w:w="1480" w:type="dxa"/>
            <w:tcBorders>
              <w:top w:val="single" w:sz="4" w:space="0" w:color="757171"/>
              <w:left w:val="single" w:sz="4" w:space="0" w:color="757171"/>
              <w:bottom w:val="single" w:sz="4" w:space="0" w:color="757171"/>
              <w:right w:val="single" w:sz="4" w:space="0" w:color="757171"/>
            </w:tcBorders>
            <w:shd w:val="clear" w:color="FFFFFF" w:fill="F2F2F2"/>
            <w:noWrap/>
            <w:vAlign w:val="bottom"/>
            <w:hideMark/>
          </w:tcPr>
          <w:p w14:paraId="4F8EFF31" w14:textId="77777777" w:rsidR="0071092C" w:rsidRPr="0071092C" w:rsidRDefault="0071092C" w:rsidP="0071092C">
            <w:pPr>
              <w:spacing w:after="0" w:line="240" w:lineRule="auto"/>
              <w:jc w:val="center"/>
              <w:rPr>
                <w:rFonts w:ascii="Arial" w:eastAsia="Times New Roman" w:hAnsi="Arial" w:cs="Arial"/>
                <w:b/>
                <w:bCs/>
                <w:color w:val="000000"/>
                <w:sz w:val="20"/>
                <w:szCs w:val="20"/>
                <w:lang w:val="en-GB" w:eastAsia="en-GB"/>
              </w:rPr>
            </w:pPr>
            <w:r w:rsidRPr="0071092C">
              <w:rPr>
                <w:rFonts w:ascii="Arial" w:eastAsia="Times New Roman" w:hAnsi="Arial" w:cs="Arial"/>
                <w:b/>
                <w:bCs/>
                <w:color w:val="000000"/>
                <w:sz w:val="20"/>
                <w:szCs w:val="20"/>
                <w:lang w:val="en-GB" w:eastAsia="en-GB"/>
              </w:rPr>
              <w:t>Total</w:t>
            </w:r>
          </w:p>
        </w:tc>
        <w:tc>
          <w:tcPr>
            <w:tcW w:w="1380" w:type="dxa"/>
            <w:tcBorders>
              <w:top w:val="single" w:sz="4" w:space="0" w:color="757171"/>
              <w:left w:val="single" w:sz="4" w:space="0" w:color="FFFFFF"/>
              <w:bottom w:val="single" w:sz="4" w:space="0" w:color="757171"/>
              <w:right w:val="single" w:sz="4" w:space="0" w:color="FFFFFF"/>
            </w:tcBorders>
            <w:shd w:val="clear" w:color="000000" w:fill="FFFFFF"/>
            <w:noWrap/>
            <w:vAlign w:val="bottom"/>
            <w:hideMark/>
          </w:tcPr>
          <w:p w14:paraId="3BE0D132" w14:textId="77777777" w:rsidR="0071092C" w:rsidRPr="0071092C" w:rsidRDefault="0071092C" w:rsidP="0071092C">
            <w:pPr>
              <w:spacing w:after="0" w:line="240" w:lineRule="auto"/>
              <w:jc w:val="center"/>
              <w:rPr>
                <w:rFonts w:ascii="Arial" w:eastAsia="Times New Roman" w:hAnsi="Arial" w:cs="Arial"/>
                <w:b/>
                <w:bCs/>
                <w:color w:val="000000"/>
                <w:sz w:val="20"/>
                <w:szCs w:val="20"/>
                <w:lang w:val="en-GB" w:eastAsia="en-GB"/>
              </w:rPr>
            </w:pPr>
            <w:r w:rsidRPr="0071092C">
              <w:rPr>
                <w:rFonts w:ascii="Arial" w:eastAsia="Times New Roman" w:hAnsi="Arial" w:cs="Arial"/>
                <w:b/>
                <w:bCs/>
                <w:color w:val="000000"/>
                <w:sz w:val="20"/>
                <w:szCs w:val="20"/>
                <w:lang w:val="en-GB" w:eastAsia="en-GB"/>
              </w:rPr>
              <w:t>315</w:t>
            </w:r>
          </w:p>
        </w:tc>
        <w:tc>
          <w:tcPr>
            <w:tcW w:w="1420" w:type="dxa"/>
            <w:tcBorders>
              <w:top w:val="single" w:sz="4" w:space="0" w:color="757171"/>
              <w:left w:val="single" w:sz="4" w:space="0" w:color="FFFFFF"/>
              <w:bottom w:val="single" w:sz="4" w:space="0" w:color="757171"/>
              <w:right w:val="single" w:sz="4" w:space="0" w:color="FFFFFF"/>
            </w:tcBorders>
            <w:shd w:val="clear" w:color="000000" w:fill="FFFFFF"/>
            <w:noWrap/>
            <w:vAlign w:val="bottom"/>
            <w:hideMark/>
          </w:tcPr>
          <w:p w14:paraId="3AC62F33" w14:textId="77777777" w:rsidR="0071092C" w:rsidRPr="0071092C" w:rsidRDefault="0071092C" w:rsidP="0071092C">
            <w:pPr>
              <w:spacing w:after="0" w:line="240" w:lineRule="auto"/>
              <w:jc w:val="center"/>
              <w:rPr>
                <w:rFonts w:ascii="Arial" w:eastAsia="Times New Roman" w:hAnsi="Arial" w:cs="Arial"/>
                <w:b/>
                <w:bCs/>
                <w:color w:val="000000"/>
                <w:sz w:val="20"/>
                <w:szCs w:val="20"/>
                <w:lang w:val="en-GB" w:eastAsia="en-GB"/>
              </w:rPr>
            </w:pPr>
            <w:r w:rsidRPr="0071092C">
              <w:rPr>
                <w:rFonts w:ascii="Arial" w:eastAsia="Times New Roman" w:hAnsi="Arial" w:cs="Arial"/>
                <w:b/>
                <w:bCs/>
                <w:color w:val="000000"/>
                <w:sz w:val="20"/>
                <w:szCs w:val="20"/>
                <w:lang w:val="en-GB" w:eastAsia="en-GB"/>
              </w:rPr>
              <w:t>313</w:t>
            </w:r>
          </w:p>
        </w:tc>
        <w:tc>
          <w:tcPr>
            <w:tcW w:w="1440" w:type="dxa"/>
            <w:tcBorders>
              <w:top w:val="single" w:sz="4" w:space="0" w:color="757171"/>
              <w:left w:val="single" w:sz="4" w:space="0" w:color="FFFFFF"/>
              <w:bottom w:val="single" w:sz="4" w:space="0" w:color="757171"/>
              <w:right w:val="single" w:sz="4" w:space="0" w:color="757171"/>
            </w:tcBorders>
            <w:shd w:val="clear" w:color="000000" w:fill="FFFFFF"/>
            <w:noWrap/>
            <w:vAlign w:val="bottom"/>
            <w:hideMark/>
          </w:tcPr>
          <w:p w14:paraId="600D8EAB" w14:textId="77777777" w:rsidR="0071092C" w:rsidRPr="0071092C" w:rsidRDefault="0071092C" w:rsidP="0071092C">
            <w:pPr>
              <w:spacing w:after="0" w:line="240" w:lineRule="auto"/>
              <w:jc w:val="center"/>
              <w:rPr>
                <w:rFonts w:ascii="Arial" w:eastAsia="Times New Roman" w:hAnsi="Arial" w:cs="Arial"/>
                <w:b/>
                <w:bCs/>
                <w:color w:val="000000"/>
                <w:sz w:val="20"/>
                <w:szCs w:val="20"/>
                <w:lang w:val="en-GB" w:eastAsia="en-GB"/>
              </w:rPr>
            </w:pPr>
          </w:p>
        </w:tc>
      </w:tr>
    </w:tbl>
    <w:p w14:paraId="7F8F75C5" w14:textId="77777777" w:rsidR="0071092C" w:rsidRDefault="0071092C">
      <w:pPr>
        <w:spacing w:after="0" w:line="240" w:lineRule="auto"/>
        <w:jc w:val="left"/>
      </w:pPr>
    </w:p>
    <w:tbl>
      <w:tblPr>
        <w:tblW w:w="5807" w:type="dxa"/>
        <w:jc w:val="center"/>
        <w:tblLook w:val="04A0" w:firstRow="1" w:lastRow="0" w:firstColumn="1" w:lastColumn="0" w:noHBand="0" w:noVBand="1"/>
      </w:tblPr>
      <w:tblGrid>
        <w:gridCol w:w="1555"/>
        <w:gridCol w:w="1417"/>
        <w:gridCol w:w="1134"/>
        <w:gridCol w:w="1701"/>
      </w:tblGrid>
      <w:tr w:rsidR="0071092C" w:rsidRPr="0071092C" w14:paraId="2C85CC2F" w14:textId="77777777" w:rsidTr="0022225B">
        <w:trPr>
          <w:trHeight w:val="255"/>
          <w:jc w:val="center"/>
        </w:trPr>
        <w:tc>
          <w:tcPr>
            <w:tcW w:w="1555" w:type="dxa"/>
            <w:tcBorders>
              <w:top w:val="single" w:sz="4" w:space="0" w:color="757171"/>
              <w:left w:val="single" w:sz="4" w:space="0" w:color="757171"/>
              <w:bottom w:val="single" w:sz="4" w:space="0" w:color="757171"/>
              <w:right w:val="single" w:sz="4" w:space="0" w:color="757171"/>
            </w:tcBorders>
            <w:shd w:val="clear" w:color="000000" w:fill="FFFFFF"/>
            <w:noWrap/>
            <w:vAlign w:val="bottom"/>
            <w:hideMark/>
          </w:tcPr>
          <w:p w14:paraId="6B23D6DC" w14:textId="77777777" w:rsidR="0071092C" w:rsidRPr="0071092C" w:rsidRDefault="0071092C" w:rsidP="0071092C">
            <w:pPr>
              <w:spacing w:after="0" w:line="240" w:lineRule="auto"/>
              <w:jc w:val="center"/>
              <w:rPr>
                <w:rFonts w:ascii="Arial" w:eastAsia="Times New Roman" w:hAnsi="Arial" w:cs="Arial"/>
                <w:b/>
                <w:bCs/>
                <w:color w:val="000000"/>
                <w:sz w:val="20"/>
                <w:szCs w:val="20"/>
                <w:lang w:val="en-GB" w:eastAsia="en-GB"/>
              </w:rPr>
            </w:pPr>
            <w:r w:rsidRPr="0071092C">
              <w:rPr>
                <w:rFonts w:ascii="Arial" w:eastAsia="Times New Roman" w:hAnsi="Arial" w:cs="Arial"/>
                <w:b/>
                <w:bCs/>
                <w:color w:val="000000"/>
                <w:sz w:val="20"/>
                <w:szCs w:val="20"/>
                <w:lang w:val="en-GB" w:eastAsia="en-GB"/>
              </w:rPr>
              <w:t>Training</w:t>
            </w:r>
          </w:p>
        </w:tc>
        <w:tc>
          <w:tcPr>
            <w:tcW w:w="1417" w:type="dxa"/>
            <w:tcBorders>
              <w:top w:val="single" w:sz="4" w:space="0" w:color="757171"/>
              <w:left w:val="single" w:sz="4" w:space="0" w:color="FFFFFF"/>
              <w:bottom w:val="single" w:sz="4" w:space="0" w:color="757171"/>
              <w:right w:val="single" w:sz="4" w:space="0" w:color="FFFFFF"/>
            </w:tcBorders>
            <w:shd w:val="clear" w:color="000000" w:fill="FFFFFF"/>
            <w:noWrap/>
            <w:vAlign w:val="bottom"/>
            <w:hideMark/>
          </w:tcPr>
          <w:p w14:paraId="58F6B573" w14:textId="77777777" w:rsidR="0071092C" w:rsidRPr="0071092C" w:rsidRDefault="0071092C" w:rsidP="0022225B">
            <w:pPr>
              <w:spacing w:after="0" w:line="240" w:lineRule="auto"/>
              <w:jc w:val="center"/>
              <w:rPr>
                <w:rFonts w:ascii="Arial" w:eastAsia="Times New Roman" w:hAnsi="Arial" w:cs="Arial"/>
                <w:b/>
                <w:bCs/>
                <w:color w:val="000000"/>
                <w:sz w:val="20"/>
                <w:szCs w:val="20"/>
                <w:lang w:val="en-GB" w:eastAsia="en-GB"/>
              </w:rPr>
            </w:pPr>
            <w:r w:rsidRPr="0071092C">
              <w:rPr>
                <w:rFonts w:ascii="Arial" w:eastAsia="Times New Roman" w:hAnsi="Arial" w:cs="Arial"/>
                <w:b/>
                <w:bCs/>
                <w:color w:val="000000"/>
                <w:sz w:val="20"/>
                <w:szCs w:val="20"/>
                <w:lang w:val="en-GB" w:eastAsia="en-GB"/>
              </w:rPr>
              <w:t>2015</w:t>
            </w:r>
          </w:p>
        </w:tc>
        <w:tc>
          <w:tcPr>
            <w:tcW w:w="1134" w:type="dxa"/>
            <w:tcBorders>
              <w:top w:val="single" w:sz="4" w:space="0" w:color="757171"/>
              <w:left w:val="single" w:sz="4" w:space="0" w:color="FFFFFF"/>
              <w:bottom w:val="single" w:sz="4" w:space="0" w:color="757171"/>
              <w:right w:val="single" w:sz="4" w:space="0" w:color="FFFFFF"/>
            </w:tcBorders>
            <w:shd w:val="clear" w:color="000000" w:fill="FFFFFF"/>
            <w:noWrap/>
            <w:vAlign w:val="bottom"/>
            <w:hideMark/>
          </w:tcPr>
          <w:p w14:paraId="0B9BDC9D" w14:textId="77777777" w:rsidR="0071092C" w:rsidRPr="0071092C" w:rsidRDefault="0071092C" w:rsidP="0022225B">
            <w:pPr>
              <w:spacing w:after="0" w:line="240" w:lineRule="auto"/>
              <w:jc w:val="center"/>
              <w:rPr>
                <w:rFonts w:ascii="Arial" w:eastAsia="Times New Roman" w:hAnsi="Arial" w:cs="Arial"/>
                <w:b/>
                <w:bCs/>
                <w:color w:val="000000"/>
                <w:sz w:val="20"/>
                <w:szCs w:val="20"/>
                <w:lang w:val="en-GB" w:eastAsia="en-GB"/>
              </w:rPr>
            </w:pPr>
            <w:r w:rsidRPr="0071092C">
              <w:rPr>
                <w:rFonts w:ascii="Arial" w:eastAsia="Times New Roman" w:hAnsi="Arial" w:cs="Arial"/>
                <w:b/>
                <w:bCs/>
                <w:color w:val="000000"/>
                <w:sz w:val="20"/>
                <w:szCs w:val="20"/>
                <w:lang w:val="en-GB" w:eastAsia="en-GB"/>
              </w:rPr>
              <w:t>2017</w:t>
            </w:r>
          </w:p>
        </w:tc>
        <w:tc>
          <w:tcPr>
            <w:tcW w:w="1701" w:type="dxa"/>
            <w:tcBorders>
              <w:top w:val="single" w:sz="4" w:space="0" w:color="757171"/>
              <w:left w:val="single" w:sz="4" w:space="0" w:color="FFFFFF"/>
              <w:bottom w:val="single" w:sz="4" w:space="0" w:color="757171"/>
              <w:right w:val="single" w:sz="4" w:space="0" w:color="757171"/>
            </w:tcBorders>
            <w:shd w:val="clear" w:color="000000" w:fill="FFFFFF"/>
            <w:noWrap/>
            <w:vAlign w:val="bottom"/>
            <w:hideMark/>
          </w:tcPr>
          <w:p w14:paraId="756B32B9" w14:textId="77777777" w:rsidR="0071092C" w:rsidRPr="0071092C" w:rsidRDefault="0071092C" w:rsidP="0022225B">
            <w:pPr>
              <w:spacing w:after="0" w:line="240" w:lineRule="auto"/>
              <w:jc w:val="center"/>
              <w:rPr>
                <w:rFonts w:ascii="Arial" w:eastAsia="Times New Roman" w:hAnsi="Arial" w:cs="Arial"/>
                <w:b/>
                <w:bCs/>
                <w:color w:val="000000"/>
                <w:sz w:val="20"/>
                <w:szCs w:val="20"/>
                <w:lang w:val="en-GB" w:eastAsia="en-GB"/>
              </w:rPr>
            </w:pPr>
            <w:r w:rsidRPr="0071092C">
              <w:rPr>
                <w:rFonts w:ascii="Arial" w:eastAsia="Times New Roman" w:hAnsi="Arial" w:cs="Arial"/>
                <w:b/>
                <w:bCs/>
                <w:color w:val="000000"/>
                <w:sz w:val="20"/>
                <w:szCs w:val="20"/>
                <w:lang w:val="en-GB" w:eastAsia="en-GB"/>
              </w:rPr>
              <w:t>Change</w:t>
            </w:r>
          </w:p>
        </w:tc>
      </w:tr>
      <w:tr w:rsidR="0071092C" w:rsidRPr="0071092C" w14:paraId="7D7A6B95" w14:textId="77777777" w:rsidTr="0022225B">
        <w:trPr>
          <w:trHeight w:val="255"/>
          <w:jc w:val="center"/>
        </w:trPr>
        <w:tc>
          <w:tcPr>
            <w:tcW w:w="1555" w:type="dxa"/>
            <w:tcBorders>
              <w:top w:val="single" w:sz="4" w:space="0" w:color="FFFFFF"/>
              <w:left w:val="single" w:sz="4" w:space="0" w:color="FFFFFF"/>
              <w:bottom w:val="single" w:sz="4" w:space="0" w:color="FFFFFF"/>
              <w:right w:val="single" w:sz="4" w:space="0" w:color="FFFFFF"/>
            </w:tcBorders>
            <w:shd w:val="clear" w:color="000000" w:fill="99BD66"/>
            <w:noWrap/>
            <w:vAlign w:val="bottom"/>
            <w:hideMark/>
          </w:tcPr>
          <w:p w14:paraId="23F6ECFC" w14:textId="77777777" w:rsidR="0071092C" w:rsidRPr="0071092C" w:rsidRDefault="0071092C" w:rsidP="0071092C">
            <w:pPr>
              <w:spacing w:after="0" w:line="240" w:lineRule="auto"/>
              <w:jc w:val="center"/>
              <w:rPr>
                <w:rFonts w:ascii="Arial" w:eastAsia="Times New Roman" w:hAnsi="Arial" w:cs="Arial"/>
                <w:b/>
                <w:bCs/>
                <w:color w:val="000000"/>
                <w:sz w:val="20"/>
                <w:szCs w:val="20"/>
                <w:lang w:val="en-GB" w:eastAsia="en-GB"/>
              </w:rPr>
            </w:pPr>
            <w:r w:rsidRPr="0071092C">
              <w:rPr>
                <w:rFonts w:ascii="Arial" w:eastAsia="Times New Roman" w:hAnsi="Arial" w:cs="Arial"/>
                <w:b/>
                <w:bCs/>
                <w:color w:val="000000"/>
                <w:sz w:val="20"/>
                <w:szCs w:val="20"/>
                <w:lang w:val="en-GB" w:eastAsia="en-GB"/>
              </w:rPr>
              <w:t>Yes</w:t>
            </w:r>
          </w:p>
        </w:tc>
        <w:tc>
          <w:tcPr>
            <w:tcW w:w="1417" w:type="dxa"/>
            <w:tcBorders>
              <w:top w:val="single" w:sz="4" w:space="0" w:color="FFFFFF"/>
              <w:left w:val="single" w:sz="4" w:space="0" w:color="FFFFFF"/>
              <w:bottom w:val="single" w:sz="4" w:space="0" w:color="FFFFFF"/>
              <w:right w:val="single" w:sz="4" w:space="0" w:color="FFFFFF"/>
            </w:tcBorders>
            <w:shd w:val="clear" w:color="000000" w:fill="FFFFFF"/>
            <w:noWrap/>
            <w:vAlign w:val="bottom"/>
            <w:hideMark/>
          </w:tcPr>
          <w:p w14:paraId="52EE4514" w14:textId="77777777" w:rsidR="0071092C" w:rsidRPr="0071092C" w:rsidRDefault="0071092C" w:rsidP="0022225B">
            <w:pPr>
              <w:spacing w:after="0" w:line="240" w:lineRule="auto"/>
              <w:jc w:val="center"/>
              <w:rPr>
                <w:rFonts w:ascii="Arial" w:eastAsia="Times New Roman" w:hAnsi="Arial" w:cs="Arial"/>
                <w:color w:val="757171"/>
                <w:sz w:val="20"/>
                <w:szCs w:val="20"/>
                <w:lang w:val="en-GB" w:eastAsia="en-GB"/>
              </w:rPr>
            </w:pPr>
            <w:r w:rsidRPr="0071092C">
              <w:rPr>
                <w:rFonts w:ascii="Arial" w:eastAsia="Times New Roman" w:hAnsi="Arial" w:cs="Arial"/>
                <w:color w:val="757171"/>
                <w:sz w:val="20"/>
                <w:szCs w:val="20"/>
                <w:lang w:val="en-GB" w:eastAsia="en-GB"/>
              </w:rPr>
              <w:t>103</w:t>
            </w:r>
          </w:p>
        </w:tc>
        <w:tc>
          <w:tcPr>
            <w:tcW w:w="1134" w:type="dxa"/>
            <w:tcBorders>
              <w:top w:val="single" w:sz="4" w:space="0" w:color="FFFFFF"/>
              <w:left w:val="single" w:sz="4" w:space="0" w:color="FFFFFF"/>
              <w:bottom w:val="single" w:sz="4" w:space="0" w:color="FFFFFF"/>
              <w:right w:val="single" w:sz="4" w:space="0" w:color="FFFFFF"/>
            </w:tcBorders>
            <w:shd w:val="clear" w:color="000000" w:fill="FFFFFF"/>
            <w:noWrap/>
            <w:vAlign w:val="bottom"/>
            <w:hideMark/>
          </w:tcPr>
          <w:p w14:paraId="19DCFFB0" w14:textId="77777777" w:rsidR="0071092C" w:rsidRPr="0071092C" w:rsidRDefault="0071092C" w:rsidP="0022225B">
            <w:pPr>
              <w:spacing w:after="0" w:line="240" w:lineRule="auto"/>
              <w:jc w:val="center"/>
              <w:rPr>
                <w:rFonts w:ascii="Arial" w:eastAsia="Times New Roman" w:hAnsi="Arial" w:cs="Arial"/>
                <w:color w:val="757171"/>
                <w:sz w:val="20"/>
                <w:szCs w:val="20"/>
                <w:lang w:val="en-GB" w:eastAsia="en-GB"/>
              </w:rPr>
            </w:pPr>
            <w:r w:rsidRPr="0071092C">
              <w:rPr>
                <w:rFonts w:ascii="Arial" w:eastAsia="Times New Roman" w:hAnsi="Arial" w:cs="Arial"/>
                <w:color w:val="757171"/>
                <w:sz w:val="20"/>
                <w:szCs w:val="20"/>
                <w:lang w:val="en-GB" w:eastAsia="en-GB"/>
              </w:rPr>
              <w:t>115</w:t>
            </w:r>
          </w:p>
        </w:tc>
        <w:tc>
          <w:tcPr>
            <w:tcW w:w="1701" w:type="dxa"/>
            <w:tcBorders>
              <w:top w:val="single" w:sz="4" w:space="0" w:color="FFFFFF"/>
              <w:left w:val="single" w:sz="4" w:space="0" w:color="FFFFFF"/>
              <w:bottom w:val="single" w:sz="4" w:space="0" w:color="FFFFFF"/>
              <w:right w:val="single" w:sz="4" w:space="0" w:color="FFFFFF"/>
            </w:tcBorders>
            <w:shd w:val="clear" w:color="000000" w:fill="FFFFFF"/>
            <w:noWrap/>
            <w:vAlign w:val="bottom"/>
            <w:hideMark/>
          </w:tcPr>
          <w:p w14:paraId="4E49BA3C" w14:textId="77777777" w:rsidR="0071092C" w:rsidRPr="0071092C" w:rsidRDefault="0071092C" w:rsidP="0022225B">
            <w:pPr>
              <w:spacing w:after="0" w:line="240" w:lineRule="auto"/>
              <w:jc w:val="center"/>
              <w:rPr>
                <w:rFonts w:ascii="Arial" w:eastAsia="Times New Roman" w:hAnsi="Arial" w:cs="Arial"/>
                <w:color w:val="000000"/>
                <w:sz w:val="20"/>
                <w:szCs w:val="20"/>
                <w:lang w:val="en-GB" w:eastAsia="en-GB"/>
              </w:rPr>
            </w:pPr>
            <w:r w:rsidRPr="0071092C">
              <w:rPr>
                <w:rFonts w:ascii="Arial" w:eastAsia="Times New Roman" w:hAnsi="Arial" w:cs="Arial"/>
                <w:color w:val="000000"/>
                <w:sz w:val="20"/>
                <w:szCs w:val="20"/>
                <w:lang w:val="en-GB" w:eastAsia="en-GB"/>
              </w:rPr>
              <w:t>12</w:t>
            </w:r>
          </w:p>
        </w:tc>
      </w:tr>
      <w:tr w:rsidR="0071092C" w:rsidRPr="0071092C" w14:paraId="7776004A" w14:textId="77777777" w:rsidTr="0022225B">
        <w:trPr>
          <w:trHeight w:val="255"/>
          <w:jc w:val="center"/>
        </w:trPr>
        <w:tc>
          <w:tcPr>
            <w:tcW w:w="1555" w:type="dxa"/>
            <w:tcBorders>
              <w:top w:val="single" w:sz="4" w:space="0" w:color="FFFFFF"/>
              <w:left w:val="single" w:sz="4" w:space="0" w:color="FFFFFF"/>
              <w:bottom w:val="single" w:sz="4" w:space="0" w:color="FFFFFF"/>
              <w:right w:val="single" w:sz="4" w:space="0" w:color="FFFFFF"/>
            </w:tcBorders>
            <w:shd w:val="clear" w:color="000000" w:fill="FF7D67"/>
            <w:noWrap/>
            <w:vAlign w:val="bottom"/>
            <w:hideMark/>
          </w:tcPr>
          <w:p w14:paraId="5C7E2086" w14:textId="77777777" w:rsidR="0071092C" w:rsidRPr="0071092C" w:rsidRDefault="0071092C" w:rsidP="0071092C">
            <w:pPr>
              <w:spacing w:after="0" w:line="240" w:lineRule="auto"/>
              <w:jc w:val="center"/>
              <w:rPr>
                <w:rFonts w:ascii="Arial" w:eastAsia="Times New Roman" w:hAnsi="Arial" w:cs="Arial"/>
                <w:b/>
                <w:bCs/>
                <w:color w:val="000000"/>
                <w:sz w:val="20"/>
                <w:szCs w:val="20"/>
                <w:lang w:val="en-GB" w:eastAsia="en-GB"/>
              </w:rPr>
            </w:pPr>
            <w:r w:rsidRPr="0071092C">
              <w:rPr>
                <w:rFonts w:ascii="Arial" w:eastAsia="Times New Roman" w:hAnsi="Arial" w:cs="Arial"/>
                <w:b/>
                <w:bCs/>
                <w:color w:val="000000"/>
                <w:sz w:val="20"/>
                <w:szCs w:val="20"/>
                <w:lang w:val="en-GB" w:eastAsia="en-GB"/>
              </w:rPr>
              <w:t>No</w:t>
            </w:r>
          </w:p>
        </w:tc>
        <w:tc>
          <w:tcPr>
            <w:tcW w:w="1417" w:type="dxa"/>
            <w:tcBorders>
              <w:top w:val="single" w:sz="4" w:space="0" w:color="FFFFFF"/>
              <w:left w:val="single" w:sz="4" w:space="0" w:color="FFFFFF"/>
              <w:bottom w:val="single" w:sz="4" w:space="0" w:color="FFFFFF"/>
              <w:right w:val="single" w:sz="4" w:space="0" w:color="FFFFFF"/>
            </w:tcBorders>
            <w:shd w:val="clear" w:color="000000" w:fill="FFFFFF"/>
            <w:noWrap/>
            <w:vAlign w:val="bottom"/>
            <w:hideMark/>
          </w:tcPr>
          <w:p w14:paraId="6DB29602" w14:textId="77777777" w:rsidR="0071092C" w:rsidRPr="0071092C" w:rsidRDefault="0071092C" w:rsidP="0022225B">
            <w:pPr>
              <w:spacing w:after="0" w:line="240" w:lineRule="auto"/>
              <w:jc w:val="center"/>
              <w:rPr>
                <w:rFonts w:ascii="Arial" w:eastAsia="Times New Roman" w:hAnsi="Arial" w:cs="Arial"/>
                <w:color w:val="757171"/>
                <w:sz w:val="20"/>
                <w:szCs w:val="20"/>
                <w:lang w:val="en-GB" w:eastAsia="en-GB"/>
              </w:rPr>
            </w:pPr>
            <w:r w:rsidRPr="0071092C">
              <w:rPr>
                <w:rFonts w:ascii="Arial" w:eastAsia="Times New Roman" w:hAnsi="Arial" w:cs="Arial"/>
                <w:color w:val="757171"/>
                <w:sz w:val="20"/>
                <w:szCs w:val="20"/>
                <w:lang w:val="en-GB" w:eastAsia="en-GB"/>
              </w:rPr>
              <w:t>212</w:t>
            </w:r>
          </w:p>
        </w:tc>
        <w:tc>
          <w:tcPr>
            <w:tcW w:w="1134" w:type="dxa"/>
            <w:tcBorders>
              <w:top w:val="single" w:sz="4" w:space="0" w:color="FFFFFF"/>
              <w:left w:val="single" w:sz="4" w:space="0" w:color="FFFFFF"/>
              <w:bottom w:val="single" w:sz="4" w:space="0" w:color="FFFFFF"/>
              <w:right w:val="single" w:sz="4" w:space="0" w:color="FFFFFF"/>
            </w:tcBorders>
            <w:shd w:val="clear" w:color="000000" w:fill="FFFFFF"/>
            <w:noWrap/>
            <w:vAlign w:val="bottom"/>
            <w:hideMark/>
          </w:tcPr>
          <w:p w14:paraId="7731C90D" w14:textId="77777777" w:rsidR="0071092C" w:rsidRPr="0071092C" w:rsidRDefault="0071092C" w:rsidP="0022225B">
            <w:pPr>
              <w:spacing w:after="0" w:line="240" w:lineRule="auto"/>
              <w:jc w:val="center"/>
              <w:rPr>
                <w:rFonts w:ascii="Arial" w:eastAsia="Times New Roman" w:hAnsi="Arial" w:cs="Arial"/>
                <w:color w:val="757171"/>
                <w:sz w:val="20"/>
                <w:szCs w:val="20"/>
                <w:lang w:val="en-GB" w:eastAsia="en-GB"/>
              </w:rPr>
            </w:pPr>
            <w:r w:rsidRPr="0071092C">
              <w:rPr>
                <w:rFonts w:ascii="Arial" w:eastAsia="Times New Roman" w:hAnsi="Arial" w:cs="Arial"/>
                <w:color w:val="757171"/>
                <w:sz w:val="20"/>
                <w:szCs w:val="20"/>
                <w:lang w:val="en-GB" w:eastAsia="en-GB"/>
              </w:rPr>
              <w:t>198</w:t>
            </w:r>
          </w:p>
        </w:tc>
        <w:tc>
          <w:tcPr>
            <w:tcW w:w="1701" w:type="dxa"/>
            <w:tcBorders>
              <w:top w:val="single" w:sz="4" w:space="0" w:color="FFFFFF"/>
              <w:left w:val="single" w:sz="4" w:space="0" w:color="FFFFFF"/>
              <w:bottom w:val="single" w:sz="4" w:space="0" w:color="FFFFFF"/>
              <w:right w:val="single" w:sz="4" w:space="0" w:color="FFFFFF"/>
            </w:tcBorders>
            <w:shd w:val="clear" w:color="000000" w:fill="FFFFFF"/>
            <w:noWrap/>
            <w:vAlign w:val="bottom"/>
            <w:hideMark/>
          </w:tcPr>
          <w:p w14:paraId="4BFB0184" w14:textId="77777777" w:rsidR="0071092C" w:rsidRPr="0071092C" w:rsidRDefault="0071092C" w:rsidP="0022225B">
            <w:pPr>
              <w:spacing w:after="0" w:line="240" w:lineRule="auto"/>
              <w:jc w:val="center"/>
              <w:rPr>
                <w:rFonts w:ascii="Arial" w:eastAsia="Times New Roman" w:hAnsi="Arial" w:cs="Arial"/>
                <w:color w:val="757171"/>
                <w:sz w:val="20"/>
                <w:szCs w:val="20"/>
                <w:lang w:val="en-GB" w:eastAsia="en-GB"/>
              </w:rPr>
            </w:pPr>
          </w:p>
        </w:tc>
      </w:tr>
      <w:tr w:rsidR="0071092C" w:rsidRPr="0071092C" w14:paraId="044B8538" w14:textId="77777777" w:rsidTr="0022225B">
        <w:trPr>
          <w:trHeight w:val="255"/>
          <w:jc w:val="center"/>
        </w:trPr>
        <w:tc>
          <w:tcPr>
            <w:tcW w:w="1555" w:type="dxa"/>
            <w:tcBorders>
              <w:top w:val="single" w:sz="4" w:space="0" w:color="757171"/>
              <w:left w:val="single" w:sz="4" w:space="0" w:color="757171"/>
              <w:bottom w:val="single" w:sz="4" w:space="0" w:color="757171"/>
              <w:right w:val="single" w:sz="4" w:space="0" w:color="757171"/>
            </w:tcBorders>
            <w:shd w:val="clear" w:color="FFFFFF" w:fill="F2F2F2"/>
            <w:noWrap/>
            <w:vAlign w:val="bottom"/>
            <w:hideMark/>
          </w:tcPr>
          <w:p w14:paraId="04F600D6" w14:textId="77777777" w:rsidR="0071092C" w:rsidRPr="0071092C" w:rsidRDefault="0071092C" w:rsidP="0071092C">
            <w:pPr>
              <w:spacing w:after="0" w:line="240" w:lineRule="auto"/>
              <w:jc w:val="center"/>
              <w:rPr>
                <w:rFonts w:ascii="Arial" w:eastAsia="Times New Roman" w:hAnsi="Arial" w:cs="Arial"/>
                <w:b/>
                <w:bCs/>
                <w:color w:val="000000"/>
                <w:sz w:val="20"/>
                <w:szCs w:val="20"/>
                <w:lang w:val="en-GB" w:eastAsia="en-GB"/>
              </w:rPr>
            </w:pPr>
            <w:r w:rsidRPr="0071092C">
              <w:rPr>
                <w:rFonts w:ascii="Arial" w:eastAsia="Times New Roman" w:hAnsi="Arial" w:cs="Arial"/>
                <w:b/>
                <w:bCs/>
                <w:color w:val="000000"/>
                <w:sz w:val="20"/>
                <w:szCs w:val="20"/>
                <w:lang w:val="en-GB" w:eastAsia="en-GB"/>
              </w:rPr>
              <w:t>Total</w:t>
            </w:r>
          </w:p>
        </w:tc>
        <w:tc>
          <w:tcPr>
            <w:tcW w:w="1417" w:type="dxa"/>
            <w:tcBorders>
              <w:top w:val="single" w:sz="4" w:space="0" w:color="757171"/>
              <w:left w:val="single" w:sz="4" w:space="0" w:color="FFFFFF"/>
              <w:bottom w:val="single" w:sz="4" w:space="0" w:color="757171"/>
              <w:right w:val="single" w:sz="4" w:space="0" w:color="FFFFFF"/>
            </w:tcBorders>
            <w:shd w:val="clear" w:color="000000" w:fill="FFFFFF"/>
            <w:noWrap/>
            <w:vAlign w:val="bottom"/>
            <w:hideMark/>
          </w:tcPr>
          <w:p w14:paraId="6C8ABF39" w14:textId="77777777" w:rsidR="0071092C" w:rsidRPr="0071092C" w:rsidRDefault="0071092C" w:rsidP="0022225B">
            <w:pPr>
              <w:spacing w:after="0" w:line="240" w:lineRule="auto"/>
              <w:jc w:val="center"/>
              <w:rPr>
                <w:rFonts w:ascii="Arial" w:eastAsia="Times New Roman" w:hAnsi="Arial" w:cs="Arial"/>
                <w:b/>
                <w:bCs/>
                <w:color w:val="000000"/>
                <w:sz w:val="20"/>
                <w:szCs w:val="20"/>
                <w:lang w:val="en-GB" w:eastAsia="en-GB"/>
              </w:rPr>
            </w:pPr>
            <w:r w:rsidRPr="0071092C">
              <w:rPr>
                <w:rFonts w:ascii="Arial" w:eastAsia="Times New Roman" w:hAnsi="Arial" w:cs="Arial"/>
                <w:b/>
                <w:bCs/>
                <w:color w:val="000000"/>
                <w:sz w:val="20"/>
                <w:szCs w:val="20"/>
                <w:lang w:val="en-GB" w:eastAsia="en-GB"/>
              </w:rPr>
              <w:t>315</w:t>
            </w:r>
          </w:p>
        </w:tc>
        <w:tc>
          <w:tcPr>
            <w:tcW w:w="1134" w:type="dxa"/>
            <w:tcBorders>
              <w:top w:val="single" w:sz="4" w:space="0" w:color="757171"/>
              <w:left w:val="single" w:sz="4" w:space="0" w:color="FFFFFF"/>
              <w:bottom w:val="single" w:sz="4" w:space="0" w:color="757171"/>
              <w:right w:val="single" w:sz="4" w:space="0" w:color="FFFFFF"/>
            </w:tcBorders>
            <w:shd w:val="clear" w:color="000000" w:fill="FFFFFF"/>
            <w:noWrap/>
            <w:vAlign w:val="bottom"/>
            <w:hideMark/>
          </w:tcPr>
          <w:p w14:paraId="21D6D15D" w14:textId="77777777" w:rsidR="0071092C" w:rsidRPr="0071092C" w:rsidRDefault="0071092C" w:rsidP="0022225B">
            <w:pPr>
              <w:spacing w:after="0" w:line="240" w:lineRule="auto"/>
              <w:jc w:val="center"/>
              <w:rPr>
                <w:rFonts w:ascii="Arial" w:eastAsia="Times New Roman" w:hAnsi="Arial" w:cs="Arial"/>
                <w:b/>
                <w:bCs/>
                <w:color w:val="000000"/>
                <w:sz w:val="20"/>
                <w:szCs w:val="20"/>
                <w:lang w:val="en-GB" w:eastAsia="en-GB"/>
              </w:rPr>
            </w:pPr>
            <w:r w:rsidRPr="0071092C">
              <w:rPr>
                <w:rFonts w:ascii="Arial" w:eastAsia="Times New Roman" w:hAnsi="Arial" w:cs="Arial"/>
                <w:b/>
                <w:bCs/>
                <w:color w:val="000000"/>
                <w:sz w:val="20"/>
                <w:szCs w:val="20"/>
                <w:lang w:val="en-GB" w:eastAsia="en-GB"/>
              </w:rPr>
              <w:t>313</w:t>
            </w:r>
          </w:p>
        </w:tc>
        <w:tc>
          <w:tcPr>
            <w:tcW w:w="1701" w:type="dxa"/>
            <w:tcBorders>
              <w:top w:val="single" w:sz="4" w:space="0" w:color="757171"/>
              <w:left w:val="single" w:sz="4" w:space="0" w:color="FFFFFF"/>
              <w:bottom w:val="single" w:sz="4" w:space="0" w:color="757171"/>
              <w:right w:val="single" w:sz="4" w:space="0" w:color="757171"/>
            </w:tcBorders>
            <w:shd w:val="clear" w:color="000000" w:fill="FFFFFF"/>
            <w:noWrap/>
            <w:vAlign w:val="bottom"/>
            <w:hideMark/>
          </w:tcPr>
          <w:p w14:paraId="492AA6BD" w14:textId="77777777" w:rsidR="0071092C" w:rsidRPr="0071092C" w:rsidRDefault="0071092C" w:rsidP="0022225B">
            <w:pPr>
              <w:spacing w:after="0" w:line="240" w:lineRule="auto"/>
              <w:jc w:val="center"/>
              <w:rPr>
                <w:rFonts w:ascii="Arial" w:eastAsia="Times New Roman" w:hAnsi="Arial" w:cs="Arial"/>
                <w:b/>
                <w:bCs/>
                <w:color w:val="000000"/>
                <w:sz w:val="20"/>
                <w:szCs w:val="20"/>
                <w:lang w:val="en-GB" w:eastAsia="en-GB"/>
              </w:rPr>
            </w:pPr>
          </w:p>
        </w:tc>
      </w:tr>
    </w:tbl>
    <w:p w14:paraId="068F21FB" w14:textId="5F61303D" w:rsidR="0071092C" w:rsidRDefault="0071092C" w:rsidP="0071092C">
      <w:pPr>
        <w:pStyle w:val="Caption"/>
      </w:pPr>
      <w:bookmarkStart w:id="122" w:name="_Toc512556874"/>
      <w:r>
        <w:t xml:space="preserve">Table </w:t>
      </w:r>
      <w:r>
        <w:fldChar w:fldCharType="begin"/>
      </w:r>
      <w:r>
        <w:instrText xml:space="preserve"> SEQ Table \* ARABIC </w:instrText>
      </w:r>
      <w:r>
        <w:fldChar w:fldCharType="separate"/>
      </w:r>
      <w:r w:rsidR="0099156B">
        <w:rPr>
          <w:noProof/>
        </w:rPr>
        <w:t>17</w:t>
      </w:r>
      <w:r>
        <w:fldChar w:fldCharType="end"/>
      </w:r>
      <w:r>
        <w:t xml:space="preserve"> – Change in Policy on reserving licenses for WAV and requiring disability </w:t>
      </w:r>
      <w:r w:rsidR="00827861">
        <w:t>awareness</w:t>
      </w:r>
      <w:r>
        <w:t xml:space="preserve"> training</w:t>
      </w:r>
      <w:bookmarkEnd w:id="122"/>
    </w:p>
    <w:p w14:paraId="43537970" w14:textId="77777777" w:rsidR="009966EF" w:rsidRDefault="009966EF" w:rsidP="0071092C"/>
    <w:p w14:paraId="4B4FEB1F" w14:textId="3E88D3E7" w:rsidR="0071092C" w:rsidRDefault="0071092C" w:rsidP="0071092C">
      <w:r>
        <w:t>This shows a slight i</w:t>
      </w:r>
      <w:r w:rsidR="0022225B">
        <w:t>mprovement in taxi access policies</w:t>
      </w:r>
      <w:r>
        <w:t xml:space="preserve"> over the last two years: overall, an extra 7 authorities reserve licenses for wheelchair accessible vehicles and an extra 12 authorities require drivers to undergo disability awareness training. However, the actual picture is more complex.</w:t>
      </w:r>
    </w:p>
    <w:p w14:paraId="20CCB0D4" w14:textId="77777777" w:rsidR="009966EF" w:rsidRDefault="009966EF" w:rsidP="0071092C"/>
    <w:tbl>
      <w:tblPr>
        <w:tblW w:w="4280" w:type="dxa"/>
        <w:jc w:val="center"/>
        <w:tblLook w:val="04A0" w:firstRow="1" w:lastRow="0" w:firstColumn="1" w:lastColumn="0" w:noHBand="0" w:noVBand="1"/>
      </w:tblPr>
      <w:tblGrid>
        <w:gridCol w:w="1480"/>
        <w:gridCol w:w="1380"/>
        <w:gridCol w:w="1420"/>
      </w:tblGrid>
      <w:tr w:rsidR="0071092C" w:rsidRPr="0071092C" w14:paraId="307C8D9F" w14:textId="77777777" w:rsidTr="0022225B">
        <w:trPr>
          <w:trHeight w:val="255"/>
          <w:jc w:val="center"/>
        </w:trPr>
        <w:tc>
          <w:tcPr>
            <w:tcW w:w="1480" w:type="dxa"/>
            <w:tcBorders>
              <w:top w:val="single" w:sz="4" w:space="0" w:color="757171"/>
              <w:left w:val="single" w:sz="4" w:space="0" w:color="757171"/>
              <w:bottom w:val="single" w:sz="4" w:space="0" w:color="757171"/>
              <w:right w:val="single" w:sz="4" w:space="0" w:color="757171"/>
            </w:tcBorders>
            <w:shd w:val="clear" w:color="000000" w:fill="FFFFFF"/>
            <w:noWrap/>
            <w:vAlign w:val="bottom"/>
            <w:hideMark/>
          </w:tcPr>
          <w:p w14:paraId="705CB627" w14:textId="77777777" w:rsidR="0071092C" w:rsidRPr="0071092C" w:rsidRDefault="0071092C" w:rsidP="0071092C">
            <w:pPr>
              <w:spacing w:after="0" w:line="240" w:lineRule="auto"/>
              <w:jc w:val="left"/>
              <w:rPr>
                <w:rFonts w:ascii="Arial" w:eastAsia="Times New Roman" w:hAnsi="Arial" w:cs="Arial"/>
                <w:b/>
                <w:bCs/>
                <w:color w:val="000000"/>
                <w:sz w:val="20"/>
                <w:szCs w:val="20"/>
                <w:lang w:val="en-GB" w:eastAsia="en-GB"/>
              </w:rPr>
            </w:pPr>
            <w:r w:rsidRPr="0071092C">
              <w:rPr>
                <w:rFonts w:ascii="Arial" w:eastAsia="Times New Roman" w:hAnsi="Arial" w:cs="Arial"/>
                <w:b/>
                <w:bCs/>
                <w:color w:val="000000"/>
                <w:sz w:val="20"/>
                <w:szCs w:val="20"/>
                <w:lang w:val="en-GB" w:eastAsia="en-GB"/>
              </w:rPr>
              <w:t># Authorities</w:t>
            </w:r>
          </w:p>
        </w:tc>
        <w:tc>
          <w:tcPr>
            <w:tcW w:w="1380" w:type="dxa"/>
            <w:tcBorders>
              <w:top w:val="single" w:sz="4" w:space="0" w:color="757171"/>
              <w:left w:val="single" w:sz="4" w:space="0" w:color="FFFFFF"/>
              <w:bottom w:val="single" w:sz="4" w:space="0" w:color="757171"/>
              <w:right w:val="single" w:sz="4" w:space="0" w:color="FFFFFF"/>
            </w:tcBorders>
            <w:shd w:val="clear" w:color="000000" w:fill="FFFFFF"/>
            <w:noWrap/>
            <w:vAlign w:val="bottom"/>
            <w:hideMark/>
          </w:tcPr>
          <w:p w14:paraId="2FC4EBCF" w14:textId="77777777" w:rsidR="0071092C" w:rsidRPr="0071092C" w:rsidRDefault="0071092C" w:rsidP="0071092C">
            <w:pPr>
              <w:spacing w:after="0" w:line="240" w:lineRule="auto"/>
              <w:jc w:val="left"/>
              <w:rPr>
                <w:rFonts w:ascii="Arial" w:eastAsia="Times New Roman" w:hAnsi="Arial" w:cs="Arial"/>
                <w:b/>
                <w:bCs/>
                <w:color w:val="000000"/>
                <w:sz w:val="20"/>
                <w:szCs w:val="20"/>
                <w:lang w:val="en-GB" w:eastAsia="en-GB"/>
              </w:rPr>
            </w:pPr>
            <w:r w:rsidRPr="0071092C">
              <w:rPr>
                <w:rFonts w:ascii="Arial" w:eastAsia="Times New Roman" w:hAnsi="Arial" w:cs="Arial"/>
                <w:b/>
                <w:bCs/>
                <w:color w:val="000000"/>
                <w:sz w:val="20"/>
                <w:szCs w:val="20"/>
                <w:lang w:val="en-GB" w:eastAsia="en-GB"/>
              </w:rPr>
              <w:t>WAV Only</w:t>
            </w:r>
          </w:p>
        </w:tc>
        <w:tc>
          <w:tcPr>
            <w:tcW w:w="1420" w:type="dxa"/>
            <w:tcBorders>
              <w:top w:val="single" w:sz="4" w:space="0" w:color="757171"/>
              <w:left w:val="single" w:sz="4" w:space="0" w:color="FFFFFF"/>
              <w:bottom w:val="single" w:sz="4" w:space="0" w:color="757171"/>
              <w:right w:val="single" w:sz="4" w:space="0" w:color="757171"/>
            </w:tcBorders>
            <w:shd w:val="clear" w:color="000000" w:fill="FFFFFF"/>
            <w:noWrap/>
            <w:vAlign w:val="bottom"/>
            <w:hideMark/>
          </w:tcPr>
          <w:p w14:paraId="30971E92" w14:textId="77777777" w:rsidR="0071092C" w:rsidRPr="0071092C" w:rsidRDefault="0071092C" w:rsidP="0071092C">
            <w:pPr>
              <w:spacing w:after="0" w:line="240" w:lineRule="auto"/>
              <w:jc w:val="center"/>
              <w:rPr>
                <w:rFonts w:ascii="Arial" w:eastAsia="Times New Roman" w:hAnsi="Arial" w:cs="Arial"/>
                <w:b/>
                <w:bCs/>
                <w:color w:val="000000"/>
                <w:sz w:val="20"/>
                <w:szCs w:val="20"/>
                <w:lang w:val="en-GB" w:eastAsia="en-GB"/>
              </w:rPr>
            </w:pPr>
            <w:r w:rsidRPr="0071092C">
              <w:rPr>
                <w:rFonts w:ascii="Arial" w:eastAsia="Times New Roman" w:hAnsi="Arial" w:cs="Arial"/>
                <w:b/>
                <w:bCs/>
                <w:color w:val="000000"/>
                <w:sz w:val="20"/>
                <w:szCs w:val="20"/>
                <w:lang w:val="en-GB" w:eastAsia="en-GB"/>
              </w:rPr>
              <w:t>Training</w:t>
            </w:r>
          </w:p>
        </w:tc>
      </w:tr>
      <w:tr w:rsidR="0071092C" w:rsidRPr="0071092C" w14:paraId="57F5F78E" w14:textId="77777777" w:rsidTr="0022225B">
        <w:trPr>
          <w:trHeight w:val="255"/>
          <w:jc w:val="center"/>
        </w:trPr>
        <w:tc>
          <w:tcPr>
            <w:tcW w:w="1480" w:type="dxa"/>
            <w:tcBorders>
              <w:top w:val="single" w:sz="4" w:space="0" w:color="FFFFFF"/>
              <w:left w:val="single" w:sz="4" w:space="0" w:color="FFFFFF"/>
              <w:bottom w:val="single" w:sz="4" w:space="0" w:color="FFFFFF"/>
              <w:right w:val="single" w:sz="4" w:space="0" w:color="FFFFFF"/>
            </w:tcBorders>
            <w:shd w:val="clear" w:color="000000" w:fill="99BD66"/>
            <w:noWrap/>
            <w:vAlign w:val="bottom"/>
            <w:hideMark/>
          </w:tcPr>
          <w:p w14:paraId="3551EAA6" w14:textId="77777777" w:rsidR="0071092C" w:rsidRPr="0071092C" w:rsidRDefault="0071092C" w:rsidP="0071092C">
            <w:pPr>
              <w:spacing w:after="0" w:line="240" w:lineRule="auto"/>
              <w:jc w:val="center"/>
              <w:rPr>
                <w:rFonts w:ascii="Arial" w:eastAsia="Times New Roman" w:hAnsi="Arial" w:cs="Arial"/>
                <w:b/>
                <w:bCs/>
                <w:color w:val="000000"/>
                <w:sz w:val="20"/>
                <w:szCs w:val="20"/>
                <w:lang w:val="en-GB" w:eastAsia="en-GB"/>
              </w:rPr>
            </w:pPr>
            <w:r w:rsidRPr="0071092C">
              <w:rPr>
                <w:rFonts w:ascii="Arial" w:eastAsia="Times New Roman" w:hAnsi="Arial" w:cs="Arial"/>
                <w:b/>
                <w:bCs/>
                <w:color w:val="000000"/>
                <w:sz w:val="20"/>
                <w:szCs w:val="20"/>
                <w:lang w:val="en-GB" w:eastAsia="en-GB"/>
              </w:rPr>
              <w:t>Implemented</w:t>
            </w:r>
          </w:p>
        </w:tc>
        <w:tc>
          <w:tcPr>
            <w:tcW w:w="1380" w:type="dxa"/>
            <w:tcBorders>
              <w:top w:val="single" w:sz="4" w:space="0" w:color="FFFFFF"/>
              <w:left w:val="single" w:sz="4" w:space="0" w:color="FFFFFF"/>
              <w:bottom w:val="single" w:sz="4" w:space="0" w:color="FFFFFF"/>
              <w:right w:val="single" w:sz="4" w:space="0" w:color="FFFFFF"/>
            </w:tcBorders>
            <w:shd w:val="clear" w:color="000000" w:fill="FFFFFF"/>
            <w:noWrap/>
            <w:vAlign w:val="bottom"/>
            <w:hideMark/>
          </w:tcPr>
          <w:p w14:paraId="22A3ACA3" w14:textId="77777777" w:rsidR="0071092C" w:rsidRPr="0071092C" w:rsidRDefault="0071092C" w:rsidP="0071092C">
            <w:pPr>
              <w:spacing w:after="0" w:line="240" w:lineRule="auto"/>
              <w:jc w:val="center"/>
              <w:rPr>
                <w:rFonts w:ascii="Arial" w:eastAsia="Times New Roman" w:hAnsi="Arial" w:cs="Arial"/>
                <w:color w:val="757171"/>
                <w:sz w:val="20"/>
                <w:szCs w:val="20"/>
                <w:lang w:val="en-GB" w:eastAsia="en-GB"/>
              </w:rPr>
            </w:pPr>
            <w:r w:rsidRPr="0071092C">
              <w:rPr>
                <w:rFonts w:ascii="Arial" w:eastAsia="Times New Roman" w:hAnsi="Arial" w:cs="Arial"/>
                <w:color w:val="757171"/>
                <w:sz w:val="20"/>
                <w:szCs w:val="20"/>
                <w:lang w:val="en-GB" w:eastAsia="en-GB"/>
              </w:rPr>
              <w:t>17</w:t>
            </w:r>
          </w:p>
        </w:tc>
        <w:tc>
          <w:tcPr>
            <w:tcW w:w="1420" w:type="dxa"/>
            <w:tcBorders>
              <w:top w:val="single" w:sz="4" w:space="0" w:color="FFFFFF"/>
              <w:left w:val="single" w:sz="4" w:space="0" w:color="FFFFFF"/>
              <w:bottom w:val="single" w:sz="4" w:space="0" w:color="FFFFFF"/>
              <w:right w:val="single" w:sz="4" w:space="0" w:color="FFFFFF"/>
            </w:tcBorders>
            <w:shd w:val="clear" w:color="000000" w:fill="FFFFFF"/>
            <w:noWrap/>
            <w:vAlign w:val="bottom"/>
            <w:hideMark/>
          </w:tcPr>
          <w:p w14:paraId="7C22A3E1" w14:textId="77777777" w:rsidR="0071092C" w:rsidRPr="0071092C" w:rsidRDefault="0071092C" w:rsidP="0071092C">
            <w:pPr>
              <w:spacing w:after="0" w:line="240" w:lineRule="auto"/>
              <w:jc w:val="center"/>
              <w:rPr>
                <w:rFonts w:ascii="Arial" w:eastAsia="Times New Roman" w:hAnsi="Arial" w:cs="Arial"/>
                <w:color w:val="757171"/>
                <w:sz w:val="20"/>
                <w:szCs w:val="20"/>
                <w:lang w:val="en-GB" w:eastAsia="en-GB"/>
              </w:rPr>
            </w:pPr>
            <w:r w:rsidRPr="0071092C">
              <w:rPr>
                <w:rFonts w:ascii="Arial" w:eastAsia="Times New Roman" w:hAnsi="Arial" w:cs="Arial"/>
                <w:color w:val="757171"/>
                <w:sz w:val="20"/>
                <w:szCs w:val="20"/>
                <w:lang w:val="en-GB" w:eastAsia="en-GB"/>
              </w:rPr>
              <w:t>30</w:t>
            </w:r>
          </w:p>
        </w:tc>
      </w:tr>
      <w:tr w:rsidR="0071092C" w:rsidRPr="0071092C" w14:paraId="52B8B85E" w14:textId="77777777" w:rsidTr="0022225B">
        <w:trPr>
          <w:trHeight w:val="255"/>
          <w:jc w:val="center"/>
        </w:trPr>
        <w:tc>
          <w:tcPr>
            <w:tcW w:w="1480" w:type="dxa"/>
            <w:tcBorders>
              <w:top w:val="single" w:sz="4" w:space="0" w:color="FFFFFF"/>
              <w:left w:val="single" w:sz="4" w:space="0" w:color="FFFFFF"/>
              <w:bottom w:val="single" w:sz="4" w:space="0" w:color="FFFFFF"/>
              <w:right w:val="single" w:sz="4" w:space="0" w:color="FFFFFF"/>
            </w:tcBorders>
            <w:shd w:val="clear" w:color="000000" w:fill="FF7D67"/>
            <w:noWrap/>
            <w:vAlign w:val="bottom"/>
            <w:hideMark/>
          </w:tcPr>
          <w:p w14:paraId="1226F681" w14:textId="77777777" w:rsidR="0071092C" w:rsidRPr="0071092C" w:rsidRDefault="0071092C" w:rsidP="0071092C">
            <w:pPr>
              <w:spacing w:after="0" w:line="240" w:lineRule="auto"/>
              <w:jc w:val="center"/>
              <w:rPr>
                <w:rFonts w:ascii="Arial" w:eastAsia="Times New Roman" w:hAnsi="Arial" w:cs="Arial"/>
                <w:b/>
                <w:bCs/>
                <w:color w:val="000000"/>
                <w:sz w:val="20"/>
                <w:szCs w:val="20"/>
                <w:lang w:val="en-GB" w:eastAsia="en-GB"/>
              </w:rPr>
            </w:pPr>
            <w:r w:rsidRPr="0071092C">
              <w:rPr>
                <w:rFonts w:ascii="Arial" w:eastAsia="Times New Roman" w:hAnsi="Arial" w:cs="Arial"/>
                <w:b/>
                <w:bCs/>
                <w:color w:val="000000"/>
                <w:sz w:val="20"/>
                <w:szCs w:val="20"/>
                <w:lang w:val="en-GB" w:eastAsia="en-GB"/>
              </w:rPr>
              <w:t>Removed</w:t>
            </w:r>
          </w:p>
        </w:tc>
        <w:tc>
          <w:tcPr>
            <w:tcW w:w="1380" w:type="dxa"/>
            <w:tcBorders>
              <w:top w:val="single" w:sz="4" w:space="0" w:color="FFFFFF"/>
              <w:left w:val="single" w:sz="4" w:space="0" w:color="FFFFFF"/>
              <w:bottom w:val="single" w:sz="4" w:space="0" w:color="FFFFFF"/>
              <w:right w:val="single" w:sz="4" w:space="0" w:color="FFFFFF"/>
            </w:tcBorders>
            <w:shd w:val="clear" w:color="000000" w:fill="FFFFFF"/>
            <w:noWrap/>
            <w:vAlign w:val="bottom"/>
            <w:hideMark/>
          </w:tcPr>
          <w:p w14:paraId="7BCB6643" w14:textId="77777777" w:rsidR="0071092C" w:rsidRPr="0071092C" w:rsidRDefault="0071092C" w:rsidP="0071092C">
            <w:pPr>
              <w:spacing w:after="0" w:line="240" w:lineRule="auto"/>
              <w:jc w:val="center"/>
              <w:rPr>
                <w:rFonts w:ascii="Arial" w:eastAsia="Times New Roman" w:hAnsi="Arial" w:cs="Arial"/>
                <w:color w:val="757171"/>
                <w:sz w:val="20"/>
                <w:szCs w:val="20"/>
                <w:lang w:val="en-GB" w:eastAsia="en-GB"/>
              </w:rPr>
            </w:pPr>
            <w:r w:rsidRPr="0071092C">
              <w:rPr>
                <w:rFonts w:ascii="Arial" w:eastAsia="Times New Roman" w:hAnsi="Arial" w:cs="Arial"/>
                <w:color w:val="757171"/>
                <w:sz w:val="20"/>
                <w:szCs w:val="20"/>
                <w:lang w:val="en-GB" w:eastAsia="en-GB"/>
              </w:rPr>
              <w:t>10</w:t>
            </w:r>
          </w:p>
        </w:tc>
        <w:tc>
          <w:tcPr>
            <w:tcW w:w="1420" w:type="dxa"/>
            <w:tcBorders>
              <w:top w:val="single" w:sz="4" w:space="0" w:color="FFFFFF"/>
              <w:left w:val="single" w:sz="4" w:space="0" w:color="FFFFFF"/>
              <w:bottom w:val="single" w:sz="4" w:space="0" w:color="FFFFFF"/>
              <w:right w:val="single" w:sz="4" w:space="0" w:color="FFFFFF"/>
            </w:tcBorders>
            <w:shd w:val="clear" w:color="000000" w:fill="FFFFFF"/>
            <w:noWrap/>
            <w:vAlign w:val="bottom"/>
            <w:hideMark/>
          </w:tcPr>
          <w:p w14:paraId="451F0968" w14:textId="77777777" w:rsidR="0071092C" w:rsidRPr="0071092C" w:rsidRDefault="0071092C" w:rsidP="0071092C">
            <w:pPr>
              <w:spacing w:after="0" w:line="240" w:lineRule="auto"/>
              <w:jc w:val="center"/>
              <w:rPr>
                <w:rFonts w:ascii="Arial" w:eastAsia="Times New Roman" w:hAnsi="Arial" w:cs="Arial"/>
                <w:color w:val="757171"/>
                <w:sz w:val="20"/>
                <w:szCs w:val="20"/>
                <w:lang w:val="en-GB" w:eastAsia="en-GB"/>
              </w:rPr>
            </w:pPr>
            <w:r w:rsidRPr="0071092C">
              <w:rPr>
                <w:rFonts w:ascii="Arial" w:eastAsia="Times New Roman" w:hAnsi="Arial" w:cs="Arial"/>
                <w:color w:val="757171"/>
                <w:sz w:val="20"/>
                <w:szCs w:val="20"/>
                <w:lang w:val="en-GB" w:eastAsia="en-GB"/>
              </w:rPr>
              <w:t>18</w:t>
            </w:r>
          </w:p>
        </w:tc>
      </w:tr>
      <w:tr w:rsidR="0071092C" w:rsidRPr="0071092C" w14:paraId="1095CDF6" w14:textId="77777777" w:rsidTr="0022225B">
        <w:trPr>
          <w:trHeight w:val="255"/>
          <w:jc w:val="center"/>
        </w:trPr>
        <w:tc>
          <w:tcPr>
            <w:tcW w:w="1480" w:type="dxa"/>
            <w:tcBorders>
              <w:top w:val="single" w:sz="4" w:space="0" w:color="FFFFFF"/>
              <w:left w:val="single" w:sz="4" w:space="0" w:color="FFFFFF"/>
              <w:bottom w:val="single" w:sz="4" w:space="0" w:color="FFFFFF"/>
              <w:right w:val="single" w:sz="4" w:space="0" w:color="FFFFFF"/>
            </w:tcBorders>
            <w:shd w:val="clear" w:color="000000" w:fill="FFFFFF"/>
            <w:noWrap/>
            <w:vAlign w:val="bottom"/>
            <w:hideMark/>
          </w:tcPr>
          <w:p w14:paraId="1385C2F8" w14:textId="77777777" w:rsidR="0071092C" w:rsidRPr="0071092C" w:rsidRDefault="0071092C" w:rsidP="0071092C">
            <w:pPr>
              <w:spacing w:after="0" w:line="240" w:lineRule="auto"/>
              <w:jc w:val="center"/>
              <w:rPr>
                <w:rFonts w:ascii="Arial" w:eastAsia="Times New Roman" w:hAnsi="Arial" w:cs="Arial"/>
                <w:b/>
                <w:bCs/>
                <w:color w:val="000000"/>
                <w:sz w:val="20"/>
                <w:szCs w:val="20"/>
                <w:lang w:val="en-GB" w:eastAsia="en-GB"/>
              </w:rPr>
            </w:pPr>
            <w:r w:rsidRPr="0071092C">
              <w:rPr>
                <w:rFonts w:ascii="Arial" w:eastAsia="Times New Roman" w:hAnsi="Arial" w:cs="Arial"/>
                <w:b/>
                <w:bCs/>
                <w:color w:val="000000"/>
                <w:sz w:val="20"/>
                <w:szCs w:val="20"/>
                <w:lang w:val="en-GB" w:eastAsia="en-GB"/>
              </w:rPr>
              <w:t>Unchanged</w:t>
            </w:r>
          </w:p>
        </w:tc>
        <w:tc>
          <w:tcPr>
            <w:tcW w:w="1380" w:type="dxa"/>
            <w:tcBorders>
              <w:top w:val="single" w:sz="4" w:space="0" w:color="FFFFFF"/>
              <w:left w:val="single" w:sz="4" w:space="0" w:color="FFFFFF"/>
              <w:bottom w:val="single" w:sz="4" w:space="0" w:color="FFFFFF"/>
              <w:right w:val="single" w:sz="4" w:space="0" w:color="FFFFFF"/>
            </w:tcBorders>
            <w:shd w:val="clear" w:color="000000" w:fill="FFFFFF"/>
            <w:noWrap/>
            <w:vAlign w:val="bottom"/>
            <w:hideMark/>
          </w:tcPr>
          <w:p w14:paraId="0D956F40" w14:textId="77777777" w:rsidR="0071092C" w:rsidRPr="0071092C" w:rsidRDefault="0071092C" w:rsidP="0071092C">
            <w:pPr>
              <w:spacing w:after="0" w:line="240" w:lineRule="auto"/>
              <w:jc w:val="center"/>
              <w:rPr>
                <w:rFonts w:ascii="Arial" w:eastAsia="Times New Roman" w:hAnsi="Arial" w:cs="Arial"/>
                <w:color w:val="757171"/>
                <w:sz w:val="20"/>
                <w:szCs w:val="20"/>
                <w:lang w:val="en-GB" w:eastAsia="en-GB"/>
              </w:rPr>
            </w:pPr>
            <w:r w:rsidRPr="0071092C">
              <w:rPr>
                <w:rFonts w:ascii="Arial" w:eastAsia="Times New Roman" w:hAnsi="Arial" w:cs="Arial"/>
                <w:color w:val="757171"/>
                <w:sz w:val="20"/>
                <w:szCs w:val="20"/>
                <w:lang w:val="en-GB" w:eastAsia="en-GB"/>
              </w:rPr>
              <w:t>286</w:t>
            </w:r>
          </w:p>
        </w:tc>
        <w:tc>
          <w:tcPr>
            <w:tcW w:w="1420" w:type="dxa"/>
            <w:tcBorders>
              <w:top w:val="single" w:sz="4" w:space="0" w:color="FFFFFF"/>
              <w:left w:val="single" w:sz="4" w:space="0" w:color="FFFFFF"/>
              <w:bottom w:val="single" w:sz="4" w:space="0" w:color="FFFFFF"/>
              <w:right w:val="single" w:sz="4" w:space="0" w:color="FFFFFF"/>
            </w:tcBorders>
            <w:shd w:val="clear" w:color="000000" w:fill="FFFFFF"/>
            <w:noWrap/>
            <w:vAlign w:val="bottom"/>
            <w:hideMark/>
          </w:tcPr>
          <w:p w14:paraId="38D9A4D8" w14:textId="77777777" w:rsidR="0071092C" w:rsidRPr="0071092C" w:rsidRDefault="0071092C" w:rsidP="0071092C">
            <w:pPr>
              <w:spacing w:after="0" w:line="240" w:lineRule="auto"/>
              <w:jc w:val="center"/>
              <w:rPr>
                <w:rFonts w:ascii="Arial" w:eastAsia="Times New Roman" w:hAnsi="Arial" w:cs="Arial"/>
                <w:color w:val="757171"/>
                <w:sz w:val="20"/>
                <w:szCs w:val="20"/>
                <w:lang w:val="en-GB" w:eastAsia="en-GB"/>
              </w:rPr>
            </w:pPr>
            <w:r w:rsidRPr="0071092C">
              <w:rPr>
                <w:rFonts w:ascii="Arial" w:eastAsia="Times New Roman" w:hAnsi="Arial" w:cs="Arial"/>
                <w:color w:val="757171"/>
                <w:sz w:val="20"/>
                <w:szCs w:val="20"/>
                <w:lang w:val="en-GB" w:eastAsia="en-GB"/>
              </w:rPr>
              <w:t>265</w:t>
            </w:r>
          </w:p>
        </w:tc>
      </w:tr>
      <w:tr w:rsidR="0071092C" w:rsidRPr="0071092C" w14:paraId="1B066650" w14:textId="77777777" w:rsidTr="0022225B">
        <w:trPr>
          <w:trHeight w:val="255"/>
          <w:jc w:val="center"/>
        </w:trPr>
        <w:tc>
          <w:tcPr>
            <w:tcW w:w="1480" w:type="dxa"/>
            <w:tcBorders>
              <w:top w:val="single" w:sz="4" w:space="0" w:color="757171"/>
              <w:left w:val="single" w:sz="4" w:space="0" w:color="757171"/>
              <w:bottom w:val="single" w:sz="4" w:space="0" w:color="757171"/>
              <w:right w:val="single" w:sz="4" w:space="0" w:color="757171"/>
            </w:tcBorders>
            <w:shd w:val="clear" w:color="FFFFFF" w:fill="F2F2F2"/>
            <w:noWrap/>
            <w:vAlign w:val="bottom"/>
            <w:hideMark/>
          </w:tcPr>
          <w:p w14:paraId="5E0B0186" w14:textId="77777777" w:rsidR="0071092C" w:rsidRPr="0071092C" w:rsidRDefault="0071092C" w:rsidP="0071092C">
            <w:pPr>
              <w:spacing w:after="0" w:line="240" w:lineRule="auto"/>
              <w:jc w:val="center"/>
              <w:rPr>
                <w:rFonts w:ascii="Arial" w:eastAsia="Times New Roman" w:hAnsi="Arial" w:cs="Arial"/>
                <w:b/>
                <w:bCs/>
                <w:color w:val="000000"/>
                <w:sz w:val="20"/>
                <w:szCs w:val="20"/>
                <w:lang w:val="en-GB" w:eastAsia="en-GB"/>
              </w:rPr>
            </w:pPr>
            <w:r w:rsidRPr="0071092C">
              <w:rPr>
                <w:rFonts w:ascii="Arial" w:eastAsia="Times New Roman" w:hAnsi="Arial" w:cs="Arial"/>
                <w:b/>
                <w:bCs/>
                <w:color w:val="000000"/>
                <w:sz w:val="20"/>
                <w:szCs w:val="20"/>
                <w:lang w:val="en-GB" w:eastAsia="en-GB"/>
              </w:rPr>
              <w:t>Total</w:t>
            </w:r>
          </w:p>
        </w:tc>
        <w:tc>
          <w:tcPr>
            <w:tcW w:w="1380" w:type="dxa"/>
            <w:tcBorders>
              <w:top w:val="single" w:sz="4" w:space="0" w:color="757171"/>
              <w:left w:val="single" w:sz="4" w:space="0" w:color="FFFFFF"/>
              <w:bottom w:val="single" w:sz="4" w:space="0" w:color="757171"/>
              <w:right w:val="single" w:sz="4" w:space="0" w:color="FFFFFF"/>
            </w:tcBorders>
            <w:shd w:val="clear" w:color="000000" w:fill="FFFFFF"/>
            <w:noWrap/>
            <w:vAlign w:val="bottom"/>
            <w:hideMark/>
          </w:tcPr>
          <w:p w14:paraId="6746637E" w14:textId="77777777" w:rsidR="0071092C" w:rsidRPr="0071092C" w:rsidRDefault="0071092C" w:rsidP="0071092C">
            <w:pPr>
              <w:spacing w:after="0" w:line="240" w:lineRule="auto"/>
              <w:jc w:val="center"/>
              <w:rPr>
                <w:rFonts w:ascii="Arial" w:eastAsia="Times New Roman" w:hAnsi="Arial" w:cs="Arial"/>
                <w:b/>
                <w:bCs/>
                <w:color w:val="000000"/>
                <w:sz w:val="20"/>
                <w:szCs w:val="20"/>
                <w:lang w:val="en-GB" w:eastAsia="en-GB"/>
              </w:rPr>
            </w:pPr>
            <w:r w:rsidRPr="0071092C">
              <w:rPr>
                <w:rFonts w:ascii="Arial" w:eastAsia="Times New Roman" w:hAnsi="Arial" w:cs="Arial"/>
                <w:b/>
                <w:bCs/>
                <w:color w:val="000000"/>
                <w:sz w:val="20"/>
                <w:szCs w:val="20"/>
                <w:lang w:val="en-GB" w:eastAsia="en-GB"/>
              </w:rPr>
              <w:t>313</w:t>
            </w:r>
          </w:p>
        </w:tc>
        <w:tc>
          <w:tcPr>
            <w:tcW w:w="1420" w:type="dxa"/>
            <w:tcBorders>
              <w:top w:val="single" w:sz="4" w:space="0" w:color="757171"/>
              <w:left w:val="single" w:sz="4" w:space="0" w:color="FFFFFF"/>
              <w:bottom w:val="single" w:sz="4" w:space="0" w:color="757171"/>
              <w:right w:val="single" w:sz="4" w:space="0" w:color="757171"/>
            </w:tcBorders>
            <w:shd w:val="clear" w:color="000000" w:fill="FFFFFF"/>
            <w:noWrap/>
            <w:vAlign w:val="bottom"/>
            <w:hideMark/>
          </w:tcPr>
          <w:p w14:paraId="1263D59B" w14:textId="77777777" w:rsidR="0071092C" w:rsidRPr="0071092C" w:rsidRDefault="0071092C" w:rsidP="0071092C">
            <w:pPr>
              <w:spacing w:after="0" w:line="240" w:lineRule="auto"/>
              <w:jc w:val="center"/>
              <w:rPr>
                <w:rFonts w:ascii="Arial" w:eastAsia="Times New Roman" w:hAnsi="Arial" w:cs="Arial"/>
                <w:b/>
                <w:bCs/>
                <w:color w:val="000000"/>
                <w:sz w:val="20"/>
                <w:szCs w:val="20"/>
                <w:lang w:val="en-GB" w:eastAsia="en-GB"/>
              </w:rPr>
            </w:pPr>
            <w:r w:rsidRPr="0071092C">
              <w:rPr>
                <w:rFonts w:ascii="Arial" w:eastAsia="Times New Roman" w:hAnsi="Arial" w:cs="Arial"/>
                <w:b/>
                <w:bCs/>
                <w:color w:val="000000"/>
                <w:sz w:val="20"/>
                <w:szCs w:val="20"/>
                <w:lang w:val="en-GB" w:eastAsia="en-GB"/>
              </w:rPr>
              <w:t>313</w:t>
            </w:r>
          </w:p>
        </w:tc>
      </w:tr>
    </w:tbl>
    <w:p w14:paraId="0C46FE58" w14:textId="29C325B2" w:rsidR="0071092C" w:rsidRDefault="0071092C" w:rsidP="0071092C">
      <w:pPr>
        <w:pStyle w:val="Caption"/>
      </w:pPr>
      <w:bookmarkStart w:id="123" w:name="_Toc512556875"/>
      <w:r>
        <w:t xml:space="preserve">Table </w:t>
      </w:r>
      <w:r>
        <w:fldChar w:fldCharType="begin"/>
      </w:r>
      <w:r>
        <w:instrText xml:space="preserve"> SEQ Table \* ARABIC </w:instrText>
      </w:r>
      <w:r>
        <w:fldChar w:fldCharType="separate"/>
      </w:r>
      <w:r w:rsidR="0099156B">
        <w:rPr>
          <w:noProof/>
        </w:rPr>
        <w:t>18</w:t>
      </w:r>
      <w:r>
        <w:fldChar w:fldCharType="end"/>
      </w:r>
      <w:r>
        <w:t xml:space="preserve"> – </w:t>
      </w:r>
      <w:r w:rsidR="0098078A">
        <w:t xml:space="preserve">GB </w:t>
      </w:r>
      <w:r>
        <w:t>Licensing authority policy movements on disability accessibility</w:t>
      </w:r>
      <w:r w:rsidR="0098078A">
        <w:t>, 2015</w:t>
      </w:r>
      <w:r w:rsidR="000573F2">
        <w:t>–</w:t>
      </w:r>
      <w:r w:rsidR="0098078A">
        <w:t>2017</w:t>
      </w:r>
      <w:bookmarkEnd w:id="123"/>
    </w:p>
    <w:p w14:paraId="429AFCFF" w14:textId="77777777" w:rsidR="009966EF" w:rsidRDefault="009966EF" w:rsidP="0071092C"/>
    <w:p w14:paraId="54E6E6C9" w14:textId="67A86797" w:rsidR="00690424" w:rsidRDefault="0071092C" w:rsidP="0071092C">
      <w:pPr>
        <w:rPr>
          <w:sz w:val="28"/>
          <w:szCs w:val="28"/>
        </w:rPr>
      </w:pPr>
      <w:r>
        <w:t>10 authorities which previously reserved some or all taxi licenses for wheelchair accessible vehicles have now removed that restriction. Similarly, 18 authorities which previously required taxi drivers undergo disability awareness training have now removed that stipulation.</w:t>
      </w:r>
      <w:r w:rsidR="00690424">
        <w:br w:type="page"/>
      </w:r>
    </w:p>
    <w:p w14:paraId="5B4B5778" w14:textId="647C06EC" w:rsidR="004653DF" w:rsidRDefault="00D87381" w:rsidP="0071092C">
      <w:pPr>
        <w:pStyle w:val="Heading2"/>
      </w:pPr>
      <w:bookmarkStart w:id="124" w:name="_Toc512556910"/>
      <w:r>
        <w:lastRenderedPageBreak/>
        <w:t>Enforcement</w:t>
      </w:r>
      <w:bookmarkEnd w:id="124"/>
      <w:r>
        <w:t xml:space="preserve"> </w:t>
      </w:r>
      <w:bookmarkEnd w:id="115"/>
      <w:bookmarkEnd w:id="116"/>
    </w:p>
    <w:p w14:paraId="1BE86E44" w14:textId="4E66496A" w:rsidR="000911DE" w:rsidRPr="0098078A" w:rsidRDefault="000911DE" w:rsidP="0071092C">
      <w:pPr>
        <w:rPr>
          <w:b/>
        </w:rPr>
      </w:pPr>
      <w:r w:rsidRPr="0098078A">
        <w:rPr>
          <w:b/>
        </w:rPr>
        <w:t>No authority has taken</w:t>
      </w:r>
      <w:r w:rsidR="00827861" w:rsidRPr="0098078A">
        <w:rPr>
          <w:b/>
        </w:rPr>
        <w:t xml:space="preserve"> enforcement</w:t>
      </w:r>
      <w:r w:rsidRPr="0098078A">
        <w:rPr>
          <w:b/>
        </w:rPr>
        <w:t xml:space="preserve"> action against a driver under S165. No authority is aware of any other body or person taking legal action against a driver.</w:t>
      </w:r>
    </w:p>
    <w:p w14:paraId="01D6C353" w14:textId="05251158" w:rsidR="000911DE" w:rsidRDefault="000911DE" w:rsidP="0071092C">
      <w:r>
        <w:t xml:space="preserve"> Transport for London are the only body which indicated any currently pending action against a driver:</w:t>
      </w:r>
    </w:p>
    <w:p w14:paraId="7A16FF35" w14:textId="50F93B27" w:rsidR="000911DE" w:rsidRDefault="000911DE" w:rsidP="000911DE">
      <w:pPr>
        <w:pStyle w:val="Quote"/>
      </w:pPr>
      <w:r>
        <w:t>Since Section 165 of the Equality Act (2010) was enacted, in April 2017, we have launched 19 investigations. Of these, nine are being actively investigated, one of which has been referred to our legal team for prosecution. The remaining ten investigations have been closed due to insufficient evidence, the complainant not wanting to pursue their original compliant or the driver having been found not to have committed an offence.</w:t>
      </w:r>
      <w:r>
        <w:rPr>
          <w:rStyle w:val="EndnoteReference"/>
        </w:rPr>
        <w:endnoteReference w:id="8"/>
      </w:r>
    </w:p>
    <w:p w14:paraId="045F2488" w14:textId="4A111532" w:rsidR="000911DE" w:rsidRDefault="000911DE" w:rsidP="000911DE">
      <w:pPr>
        <w:pStyle w:val="Heading2"/>
      </w:pPr>
      <w:bookmarkStart w:id="125" w:name="_Toc512556911"/>
      <w:r>
        <w:t>Other statutory procedures</w:t>
      </w:r>
      <w:bookmarkEnd w:id="125"/>
    </w:p>
    <w:p w14:paraId="10259872" w14:textId="064DDA63" w:rsidR="000911DE" w:rsidRDefault="000911DE" w:rsidP="000911DE">
      <w:r>
        <w:t xml:space="preserve">Section 172 allows for appeal of a licensing authority’s decision to include a vehicle on any local authority’s S167 list, </w:t>
      </w:r>
      <w:r w:rsidR="00827861">
        <w:t>and</w:t>
      </w:r>
      <w:r>
        <w:t xml:space="preserve"> to appeal against a local authority’s decision </w:t>
      </w:r>
      <w:r w:rsidR="0098078A">
        <w:t>not to approve a</w:t>
      </w:r>
      <w:r w:rsidR="00493FC2">
        <w:t xml:space="preserve"> driver’s application for medical exemption from the duty to assist wheelchair users.</w:t>
      </w:r>
    </w:p>
    <w:p w14:paraId="53C2A483" w14:textId="1FCB5E70" w:rsidR="00493FC2" w:rsidRDefault="00493FC2" w:rsidP="000911DE">
      <w:r>
        <w:t xml:space="preserve">There have not </w:t>
      </w:r>
      <w:r w:rsidR="00827861">
        <w:t>been</w:t>
      </w:r>
      <w:r>
        <w:t xml:space="preserve"> any such appeals at all, in any licensing authority’s area.</w:t>
      </w:r>
    </w:p>
    <w:p w14:paraId="74679033" w14:textId="77777777" w:rsidR="00D84D25" w:rsidRPr="00D84D25" w:rsidRDefault="00D84D25" w:rsidP="00D84D25">
      <w:pPr>
        <w:pStyle w:val="Heading2"/>
        <w:rPr>
          <w:spacing w:val="4"/>
        </w:rPr>
      </w:pPr>
      <w:bookmarkStart w:id="126" w:name="_Toc488088780"/>
      <w:bookmarkStart w:id="127" w:name="_Toc488093168"/>
      <w:bookmarkStart w:id="128" w:name="_Toc512556912"/>
      <w:r>
        <w:t>Qualitative observations</w:t>
      </w:r>
      <w:bookmarkEnd w:id="126"/>
      <w:bookmarkEnd w:id="127"/>
      <w:bookmarkEnd w:id="128"/>
    </w:p>
    <w:p w14:paraId="4413ED29" w14:textId="16A224A0" w:rsidR="00D84D25" w:rsidRDefault="00D84D25" w:rsidP="00D84D25">
      <w:r>
        <w:t xml:space="preserve">Certain aspects of authorities’ approaches to S167 became clear through the Freedom of Information </w:t>
      </w:r>
      <w:r w:rsidR="00827861">
        <w:t>process but</w:t>
      </w:r>
      <w:r>
        <w:t xml:space="preserve"> were not captured in the above analysis.</w:t>
      </w:r>
      <w:r w:rsidR="00B959CE">
        <w:t xml:space="preserve"> </w:t>
      </w:r>
    </w:p>
    <w:p w14:paraId="4B7E28D1" w14:textId="4F129F03" w:rsidR="00B959CE" w:rsidRDefault="00B959CE" w:rsidP="00E44F34">
      <w:pPr>
        <w:pStyle w:val="Heading3"/>
      </w:pPr>
      <w:bookmarkStart w:id="129" w:name="_Toc488088781"/>
      <w:bookmarkStart w:id="130" w:name="_Toc488093169"/>
      <w:bookmarkStart w:id="131" w:name="_Toc512556913"/>
      <w:r>
        <w:t>Lack of knowledge or understanding of S165</w:t>
      </w:r>
      <w:r w:rsidR="000573F2">
        <w:t>–</w:t>
      </w:r>
      <w:r>
        <w:t>S167</w:t>
      </w:r>
      <w:bookmarkEnd w:id="129"/>
      <w:bookmarkEnd w:id="130"/>
      <w:bookmarkEnd w:id="131"/>
    </w:p>
    <w:p w14:paraId="25301E49" w14:textId="2CA72058" w:rsidR="00A758B3" w:rsidRDefault="006919D9" w:rsidP="00A758B3">
      <w:r>
        <w:t>Overall, there has been an increase in awareness and understanding amongst licensing authorities of sections 165</w:t>
      </w:r>
      <w:r w:rsidR="000573F2">
        <w:t>–</w:t>
      </w:r>
      <w:r>
        <w:t xml:space="preserve">167 of the Act. </w:t>
      </w:r>
      <w:r w:rsidR="009966EF">
        <w:t>However,</w:t>
      </w:r>
      <w:r>
        <w:t xml:space="preserve"> there is still a distinct problem amongst many local authorities, who still do not understand the purpose of the Act or how to go about </w:t>
      </w:r>
      <w:r w:rsidR="009B32E5">
        <w:t>i</w:t>
      </w:r>
      <w:r>
        <w:t xml:space="preserve">mplementing </w:t>
      </w:r>
      <w:r w:rsidR="00A758B3">
        <w:t>it.</w:t>
      </w:r>
    </w:p>
    <w:p w14:paraId="22909D86" w14:textId="438F24FA" w:rsidR="00A758B3" w:rsidRPr="00A758B3" w:rsidRDefault="00A758B3" w:rsidP="00A758B3">
      <w:pPr>
        <w:rPr>
          <w:b/>
        </w:rPr>
      </w:pPr>
      <w:r w:rsidRPr="00A758B3">
        <w:rPr>
          <w:b/>
        </w:rPr>
        <w:t>Examples include:</w:t>
      </w:r>
    </w:p>
    <w:p w14:paraId="1B792893" w14:textId="504E2706" w:rsidR="0098078A" w:rsidRDefault="00A758B3" w:rsidP="00A758B3">
      <w:r w:rsidRPr="00A758B3">
        <w:rPr>
          <w:b/>
        </w:rPr>
        <w:t>Nottingham</w:t>
      </w:r>
      <w:r w:rsidR="006919D9">
        <w:t xml:space="preserve"> City Council, who vacillated several times between stating that they have no intention to create a list, that they have a list (though the Department for Transport stated that the list is not valid) and that they intend to create a list. </w:t>
      </w:r>
    </w:p>
    <w:p w14:paraId="4BF0EB6B" w14:textId="77777777" w:rsidR="0098078A" w:rsidRDefault="006919D9" w:rsidP="00B959CE">
      <w:r w:rsidRPr="0098078A">
        <w:rPr>
          <w:b/>
        </w:rPr>
        <w:t>Lewes</w:t>
      </w:r>
      <w:r>
        <w:t xml:space="preserve"> </w:t>
      </w:r>
      <w:r w:rsidR="0098078A">
        <w:t>Council is</w:t>
      </w:r>
      <w:r>
        <w:t xml:space="preserve"> similar</w:t>
      </w:r>
      <w:r w:rsidR="0098078A">
        <w:t>.</w:t>
      </w:r>
      <w:r>
        <w:t xml:space="preserve"> </w:t>
      </w:r>
      <w:r w:rsidR="0098078A">
        <w:t>H</w:t>
      </w:r>
      <w:r>
        <w:t xml:space="preserve">aving stated in response to my previous research that they had implemented S167, </w:t>
      </w:r>
      <w:r w:rsidR="00C57CCC">
        <w:t xml:space="preserve">on further pressing it transpired that they don’t have a S167 list and never have. </w:t>
      </w:r>
    </w:p>
    <w:p w14:paraId="4048FBCE" w14:textId="77777777" w:rsidR="0098078A" w:rsidRDefault="00C57CCC" w:rsidP="00B959CE">
      <w:r w:rsidRPr="0098078A">
        <w:rPr>
          <w:b/>
        </w:rPr>
        <w:t>Leeds</w:t>
      </w:r>
      <w:r>
        <w:t xml:space="preserve"> City Council </w:t>
      </w:r>
      <w:r w:rsidR="0098078A">
        <w:t>believe</w:t>
      </w:r>
      <w:r>
        <w:t xml:space="preserve"> that the ability to filter their taxi </w:t>
      </w:r>
      <w:r w:rsidR="00827861">
        <w:t>license</w:t>
      </w:r>
      <w:r>
        <w:t xml:space="preserve"> register by wheelchair accessibility constitutes implementation of S167. </w:t>
      </w:r>
    </w:p>
    <w:p w14:paraId="67E002E9" w14:textId="58F814F6" w:rsidR="00C57CCC" w:rsidRDefault="00C57CCC" w:rsidP="00B959CE">
      <w:r w:rsidRPr="0098078A">
        <w:rPr>
          <w:b/>
        </w:rPr>
        <w:t>Tonbridge and Malling</w:t>
      </w:r>
      <w:r>
        <w:t xml:space="preserve"> council have let each vehicle owner decide whether their vehicle is listed or not, thus effectively facilitating drivers’ choice whether to be subject to the anti-discrimination legislation. </w:t>
      </w:r>
    </w:p>
    <w:p w14:paraId="7151EB9D" w14:textId="5E02987E" w:rsidR="00C57CCC" w:rsidRDefault="00C57CCC" w:rsidP="00B959CE">
      <w:r>
        <w:lastRenderedPageBreak/>
        <w:t xml:space="preserve">Despite the Department for Transport’s circulars, my previous research and my clear statement of the statutory guidance, I still had to force some authorities to understand what a Section 167 list is, </w:t>
      </w:r>
      <w:r w:rsidR="00827861">
        <w:t>to</w:t>
      </w:r>
      <w:r>
        <w:t xml:space="preserve"> obtain a genuine response to my FOI request.</w:t>
      </w:r>
    </w:p>
    <w:p w14:paraId="0F3F6732" w14:textId="77777777" w:rsidR="0098078A" w:rsidRDefault="0098078A" w:rsidP="00E44F34">
      <w:pPr>
        <w:pStyle w:val="Heading3"/>
      </w:pPr>
      <w:bookmarkStart w:id="132" w:name="_Toc512556914"/>
      <w:r>
        <w:t>Licensing authorities with 100% accessible fleets</w:t>
      </w:r>
      <w:bookmarkStart w:id="133" w:name="_Toc488088783"/>
      <w:bookmarkStart w:id="134" w:name="_Toc488093171"/>
      <w:bookmarkEnd w:id="132"/>
    </w:p>
    <w:p w14:paraId="6FB1941F" w14:textId="150C37F2" w:rsidR="0098078A" w:rsidRPr="0098078A" w:rsidRDefault="0098078A" w:rsidP="009B32E5">
      <w:r>
        <w:t xml:space="preserve">Fewer of these authorities are implementing S167 than authorities without 100% accessible fleets. For some </w:t>
      </w:r>
      <w:r w:rsidRPr="0098078A">
        <w:t>authorities</w:t>
      </w:r>
      <w:r>
        <w:t>, this is because they are</w:t>
      </w:r>
      <w:r w:rsidRPr="0098078A">
        <w:t xml:space="preserve"> still unclear that the purpose of a S167 list is to put drivers under a legal obligation not to discriminate and not to provide information for disabled people to travel. Others </w:t>
      </w:r>
      <w:r>
        <w:t>are</w:t>
      </w:r>
      <w:r w:rsidRPr="0098078A">
        <w:t xml:space="preserve"> content with their existing enforcement mechanisms in their licensing policies. </w:t>
      </w:r>
    </w:p>
    <w:p w14:paraId="0376FB91" w14:textId="0802D4FD" w:rsidR="00E44F34" w:rsidRDefault="000D6254" w:rsidP="00E44F34">
      <w:pPr>
        <w:pStyle w:val="Heading3"/>
      </w:pPr>
      <w:bookmarkStart w:id="135" w:name="_Toc512556915"/>
      <w:r>
        <w:t>“I</w:t>
      </w:r>
      <w:r w:rsidR="004E3DBA">
        <w:t>nsufficient” accessible taxis</w:t>
      </w:r>
      <w:bookmarkEnd w:id="133"/>
      <w:bookmarkEnd w:id="134"/>
      <w:bookmarkEnd w:id="135"/>
    </w:p>
    <w:p w14:paraId="0A024D6D" w14:textId="77777777" w:rsidR="0098078A" w:rsidRDefault="00C57CCC" w:rsidP="004E3DBA">
      <w:r>
        <w:t xml:space="preserve">It is still the case that many authorities have so few accessible taxis that </w:t>
      </w:r>
      <w:r w:rsidR="004E3DBA">
        <w:t>the</w:t>
      </w:r>
      <w:r w:rsidR="0098078A">
        <w:t>y believe there</w:t>
      </w:r>
      <w:r w:rsidR="004E3DBA">
        <w:t xml:space="preserve"> is “no point” in producing a S167 list</w:t>
      </w:r>
      <w:r>
        <w:t>.</w:t>
      </w:r>
      <w:r w:rsidR="004E3DBA" w:rsidRPr="004E3DBA">
        <w:t xml:space="preserve"> </w:t>
      </w:r>
      <w:r>
        <w:t xml:space="preserve">Others produced lists with no vehicles on, because there are no accessible taxis in their area. </w:t>
      </w:r>
    </w:p>
    <w:p w14:paraId="069DA7DF" w14:textId="6B2F2098" w:rsidR="004E3DBA" w:rsidRPr="004E3DBA" w:rsidRDefault="00C57CCC" w:rsidP="004E3DBA">
      <w:r w:rsidRPr="0098078A">
        <w:rPr>
          <w:b/>
        </w:rPr>
        <w:t>South Bucks</w:t>
      </w:r>
      <w:r>
        <w:t xml:space="preserve"> District Council’s S167 list consists of no hackney carriages and three private hire vehicles, together with a note that all three are not available to the public as they are “currently carrying out contract work only”.</w:t>
      </w:r>
      <w:r w:rsidR="009966EF">
        <w:rPr>
          <w:rStyle w:val="EndnoteReference"/>
        </w:rPr>
        <w:endnoteReference w:id="9"/>
      </w:r>
    </w:p>
    <w:p w14:paraId="0108E1DD" w14:textId="165D5E0D" w:rsidR="00FD162D" w:rsidRDefault="00FD162D" w:rsidP="0060588C"/>
    <w:p w14:paraId="4CCD925B" w14:textId="05009480" w:rsidR="0060588C" w:rsidRDefault="00FD162D" w:rsidP="00FD162D">
      <w:pPr>
        <w:pStyle w:val="Heading1"/>
      </w:pPr>
      <w:bookmarkStart w:id="136" w:name="_Toc488088785"/>
      <w:bookmarkStart w:id="137" w:name="_Toc488093173"/>
      <w:bookmarkStart w:id="138" w:name="_Toc512556916"/>
      <w:r>
        <w:lastRenderedPageBreak/>
        <w:t>Discussion</w:t>
      </w:r>
      <w:bookmarkEnd w:id="136"/>
      <w:bookmarkEnd w:id="137"/>
      <w:bookmarkEnd w:id="138"/>
    </w:p>
    <w:p w14:paraId="05749A4F" w14:textId="77777777" w:rsidR="00EF3D81" w:rsidRDefault="00EF3D81" w:rsidP="00EF3D81">
      <w:pPr>
        <w:pStyle w:val="Heading2"/>
        <w:numPr>
          <w:ilvl w:val="0"/>
          <w:numId w:val="28"/>
        </w:numPr>
      </w:pPr>
      <w:bookmarkStart w:id="139" w:name="_Toc488088786"/>
      <w:bookmarkStart w:id="140" w:name="_Toc488093174"/>
      <w:bookmarkStart w:id="141" w:name="_Toc512556917"/>
      <w:r>
        <w:t>Importance of Taxis</w:t>
      </w:r>
      <w:bookmarkEnd w:id="139"/>
      <w:bookmarkEnd w:id="140"/>
      <w:bookmarkEnd w:id="141"/>
    </w:p>
    <w:p w14:paraId="5C79335A" w14:textId="078F6608" w:rsidR="00EF3D81" w:rsidRDefault="00EF3D81" w:rsidP="00EF3D81">
      <w:r>
        <w:t xml:space="preserve">The availability of wheelchair accessible taxis and private hire vehicles </w:t>
      </w:r>
      <w:r w:rsidR="002D6005">
        <w:t>remains</w:t>
      </w:r>
      <w:r>
        <w:t xml:space="preserve"> of key importance to wheelchair users.</w:t>
      </w:r>
      <w:r w:rsidR="002D6005">
        <w:t xml:space="preserve"> I quote again </w:t>
      </w:r>
      <w:r w:rsidRPr="00EF3D81">
        <w:t>Andrew Jones MP</w:t>
      </w:r>
      <w:r w:rsidR="0098078A">
        <w:t xml:space="preserve"> (previous</w:t>
      </w:r>
      <w:r w:rsidRPr="00EF3D81">
        <w:t xml:space="preserve"> Parliamentary Under Secretary of State at the Department for Transport</w:t>
      </w:r>
      <w:r w:rsidR="0098078A">
        <w:t>):</w:t>
      </w:r>
      <w:r w:rsidRPr="00EF3D81">
        <w:t xml:space="preserve"> </w:t>
      </w:r>
    </w:p>
    <w:p w14:paraId="30B3FBE2" w14:textId="77777777" w:rsidR="00EF3D81" w:rsidRPr="00EF3D81" w:rsidRDefault="00EF3D81" w:rsidP="00EF3D81">
      <w:pPr>
        <w:pStyle w:val="Quote"/>
      </w:pPr>
      <w:r w:rsidRPr="00EF3D81">
        <w:t>I fully recognise that taxis, private hire vehicles and buses are of fundamental importance for disabled people.</w:t>
      </w:r>
      <w:r>
        <w:t xml:space="preserve"> There is no question about that.</w:t>
      </w:r>
      <w:r>
        <w:rPr>
          <w:rStyle w:val="EndnoteReference"/>
        </w:rPr>
        <w:endnoteReference w:id="10"/>
      </w:r>
    </w:p>
    <w:p w14:paraId="03D2CE12" w14:textId="77777777" w:rsidR="00FD162D" w:rsidRDefault="00E536D4" w:rsidP="00E536D4">
      <w:pPr>
        <w:pStyle w:val="Heading2"/>
        <w:numPr>
          <w:ilvl w:val="0"/>
          <w:numId w:val="28"/>
        </w:numPr>
      </w:pPr>
      <w:bookmarkStart w:id="142" w:name="_Toc488088787"/>
      <w:bookmarkStart w:id="143" w:name="_Toc488093175"/>
      <w:bookmarkStart w:id="144" w:name="_Toc512556918"/>
      <w:r>
        <w:t>S167 take-up</w:t>
      </w:r>
      <w:bookmarkEnd w:id="142"/>
      <w:bookmarkEnd w:id="143"/>
      <w:bookmarkEnd w:id="144"/>
    </w:p>
    <w:p w14:paraId="3540AC90" w14:textId="26F1C808" w:rsidR="002D6005" w:rsidRDefault="002D6005" w:rsidP="00E536D4">
      <w:r>
        <w:t xml:space="preserve">There has been an increase in the number of authorities taking up S167, </w:t>
      </w:r>
      <w:r w:rsidR="000E49D4">
        <w:t>and in</w:t>
      </w:r>
      <w:r w:rsidR="00710E3B">
        <w:t xml:space="preserve"> authorities with</w:t>
      </w:r>
      <w:r>
        <w:t xml:space="preserve"> plans to do so. </w:t>
      </w:r>
    </w:p>
    <w:p w14:paraId="1CB72013" w14:textId="08E690D5" w:rsidR="002D6005" w:rsidRDefault="0098078A" w:rsidP="00E536D4">
      <w:r>
        <w:t>Even with this increase, authorities who have implemented S167 are</w:t>
      </w:r>
      <w:r w:rsidR="002D6005">
        <w:t xml:space="preserve"> still in the minority</w:t>
      </w:r>
      <w:r>
        <w:t>.</w:t>
      </w:r>
      <w:r w:rsidR="002D6005">
        <w:t xml:space="preserve"> </w:t>
      </w:r>
      <w:r>
        <w:t>This is d</w:t>
      </w:r>
      <w:r w:rsidR="002D6005">
        <w:t xml:space="preserve">espite the Department for Transport’s recommendation that most authorities should be </w:t>
      </w:r>
      <w:r w:rsidR="00827861">
        <w:t>able</w:t>
      </w:r>
      <w:r w:rsidR="002D6005">
        <w:t xml:space="preserve"> to implement S167 by October 2017</w:t>
      </w:r>
      <w:r>
        <w:t xml:space="preserve">, and the DFT’s </w:t>
      </w:r>
      <w:r w:rsidR="002D6005">
        <w:t>reminde</w:t>
      </w:r>
      <w:r>
        <w:t>rs</w:t>
      </w:r>
      <w:r w:rsidR="002D6005">
        <w:t xml:space="preserve"> </w:t>
      </w:r>
      <w:r>
        <w:t xml:space="preserve">to </w:t>
      </w:r>
      <w:r w:rsidR="002D6005">
        <w:t>authorities o</w:t>
      </w:r>
      <w:r>
        <w:t>n</w:t>
      </w:r>
      <w:r w:rsidR="002D6005">
        <w:t xml:space="preserve"> their recommendation to implement this legislation, by emails of 1</w:t>
      </w:r>
      <w:r w:rsidR="002D6005" w:rsidRPr="002D6005">
        <w:rPr>
          <w:vertAlign w:val="superscript"/>
        </w:rPr>
        <w:t>st</w:t>
      </w:r>
      <w:r w:rsidR="002D6005">
        <w:t xml:space="preserve"> August and 5</w:t>
      </w:r>
      <w:r w:rsidR="002D6005" w:rsidRPr="002D6005">
        <w:rPr>
          <w:vertAlign w:val="superscript"/>
        </w:rPr>
        <w:t>th</w:t>
      </w:r>
      <w:r w:rsidR="002D6005">
        <w:t xml:space="preserve"> October 2017.</w:t>
      </w:r>
      <w:r w:rsidR="002D6005">
        <w:rPr>
          <w:rStyle w:val="EndnoteReference"/>
        </w:rPr>
        <w:endnoteReference w:id="11"/>
      </w:r>
    </w:p>
    <w:p w14:paraId="104EE2A5" w14:textId="281C109E" w:rsidR="0098078A" w:rsidRDefault="0098078A" w:rsidP="00E536D4">
      <w:r>
        <w:t>Only a third of authorities have implemented the legislation, and only half intend to do so by the end of the financial year.</w:t>
      </w:r>
    </w:p>
    <w:p w14:paraId="61D52548" w14:textId="6EB2BEEC" w:rsidR="002D6005" w:rsidRDefault="002D6005" w:rsidP="00E536D4">
      <w:r>
        <w:t>There is a notable variation between the constituent countries. W</w:t>
      </w:r>
      <w:r w:rsidR="0098078A">
        <w:t>elsh authorities</w:t>
      </w:r>
      <w:r>
        <w:t xml:space="preserve"> ha</w:t>
      </w:r>
      <w:r w:rsidR="0098078A">
        <w:t>ve</w:t>
      </w:r>
      <w:r>
        <w:t xml:space="preserve"> a considerably better take-up of S167 than Engl</w:t>
      </w:r>
      <w:r w:rsidR="0098078A">
        <w:t>ish ones</w:t>
      </w:r>
      <w:r>
        <w:t>. The Welsh Government has failed to respond to my Freedom of Information request enquiring why “their” councils’ compliance is so notably better. Scot</w:t>
      </w:r>
      <w:r w:rsidR="0098078A">
        <w:t xml:space="preserve">tish authorities in the main </w:t>
      </w:r>
      <w:r>
        <w:t xml:space="preserve">remain notably undecided or </w:t>
      </w:r>
      <w:r w:rsidR="0098078A">
        <w:t xml:space="preserve">negative </w:t>
      </w:r>
      <w:r>
        <w:t>concerning implementation of this legislation.</w:t>
      </w:r>
    </w:p>
    <w:p w14:paraId="0A697966" w14:textId="6BDA0C64" w:rsidR="00E536D4" w:rsidRDefault="00CD58BC" w:rsidP="00E536D4">
      <w:r>
        <w:t>To re-iterate</w:t>
      </w:r>
      <w:r w:rsidR="00E536D4">
        <w:t xml:space="preserve"> the Department for Transport</w:t>
      </w:r>
      <w:r w:rsidR="0098078A">
        <w:t>:</w:t>
      </w:r>
    </w:p>
    <w:p w14:paraId="0B6302FE" w14:textId="77777777" w:rsidR="00E536D4" w:rsidRDefault="00E536D4" w:rsidP="00E536D4">
      <w:pPr>
        <w:pStyle w:val="Quote"/>
      </w:pPr>
      <w:r w:rsidRPr="00E536D4">
        <w:t>Whilst LAs are under no specific legal obligation to maintain a list under section 167, the Government recommends strongly that they do so. Without such a list the requirements of section 165 of the Act do not apply, and drivers may continue to refuse the carriage of wheelchair users, fail to provide them with assistance, or to charge them extra.</w:t>
      </w:r>
    </w:p>
    <w:p w14:paraId="0D63F92F" w14:textId="5BDACF4A" w:rsidR="00EC13C2" w:rsidRDefault="00CD58BC" w:rsidP="006661C1">
      <w:r>
        <w:t xml:space="preserve">Authorities’ failure to implement S167 of the Equality Act does wheelchair users a profound disservice. </w:t>
      </w:r>
    </w:p>
    <w:p w14:paraId="744F442A" w14:textId="505CDAA1" w:rsidR="00247508" w:rsidRDefault="00247508" w:rsidP="00247508">
      <w:pPr>
        <w:pStyle w:val="Heading2"/>
      </w:pPr>
      <w:bookmarkStart w:id="145" w:name="_Toc512556919"/>
      <w:r>
        <w:t>S167 implementation</w:t>
      </w:r>
      <w:bookmarkEnd w:id="145"/>
    </w:p>
    <w:p w14:paraId="153C242A" w14:textId="5B305AFB" w:rsidR="00247508" w:rsidRPr="00247508" w:rsidRDefault="000C4DB2" w:rsidP="00247508">
      <w:r>
        <w:t>Of those authorities which have implemented S167, 18% (22 authorities) have failed to follow the statutory guidelines and thus risk their list being declared non-compliant if enforcement action is taken against a driver. The DfT’s handling of Nottingham council make this risk apparent. It is a shame that authorities have not expended the modest extra effort required to make their list valid under the Act.</w:t>
      </w:r>
    </w:p>
    <w:p w14:paraId="3053065D" w14:textId="77777777" w:rsidR="00D73199" w:rsidRDefault="00D73199" w:rsidP="00D660E4">
      <w:pPr>
        <w:pStyle w:val="Heading2"/>
      </w:pPr>
      <w:bookmarkStart w:id="146" w:name="_Toc488088790"/>
      <w:bookmarkStart w:id="147" w:name="_Toc488093178"/>
      <w:bookmarkStart w:id="148" w:name="_Toc512556920"/>
      <w:r>
        <w:lastRenderedPageBreak/>
        <w:t>Stretch goals</w:t>
      </w:r>
      <w:bookmarkEnd w:id="148"/>
    </w:p>
    <w:p w14:paraId="7C27F393" w14:textId="35B92AD9" w:rsidR="00D73199" w:rsidRDefault="00D73199" w:rsidP="00D73199">
      <w:r>
        <w:t xml:space="preserve">It is unsurprising </w:t>
      </w:r>
      <w:r w:rsidR="00D660E4">
        <w:t xml:space="preserve">that </w:t>
      </w:r>
      <w:r>
        <w:t xml:space="preserve">so few licensing authorities have met the good practice extra recommendations set in the DFT statutory guidance, given that only a third of authorities have even gone so far as to implement S167 of the Act. </w:t>
      </w:r>
    </w:p>
    <w:p w14:paraId="23B84DC8" w14:textId="77777777" w:rsidR="00D73199" w:rsidRDefault="00D73199" w:rsidP="00D73199">
      <w:pPr>
        <w:pStyle w:val="Heading3"/>
      </w:pPr>
      <w:bookmarkStart w:id="149" w:name="_Toc512556921"/>
      <w:r>
        <w:t>Wheelchair transfer lists</w:t>
      </w:r>
      <w:bookmarkEnd w:id="149"/>
    </w:p>
    <w:p w14:paraId="708CC366" w14:textId="77777777" w:rsidR="00D73199" w:rsidRDefault="00D73199" w:rsidP="00D73199">
      <w:r>
        <w:t xml:space="preserve">One of the good practice extra recommendations was quite simply not capable of being comprehended by licensing authorities, the trade or disabled passengers. It is not viable or sensible to create a list of vehicles into which a wheelchair user can </w:t>
      </w:r>
    </w:p>
    <w:p w14:paraId="633126C6" w14:textId="77777777" w:rsidR="00D73199" w:rsidRPr="00D57766" w:rsidRDefault="00D73199" w:rsidP="00D660E4">
      <w:pPr>
        <w:pStyle w:val="Quote"/>
        <w:jc w:val="left"/>
      </w:pPr>
      <w:r>
        <w:t>transfer from their wheelchair into the vehicle and stow their wheelchair in the boot</w:t>
      </w:r>
    </w:p>
    <w:p w14:paraId="6FA96A8B" w14:textId="202383EA" w:rsidR="00D73199" w:rsidRDefault="00D73199" w:rsidP="00D73199">
      <w:r>
        <w:t xml:space="preserve">Multiple authorities pointed out that every </w:t>
      </w:r>
      <w:r w:rsidR="00D660E4">
        <w:t>vehicle (</w:t>
      </w:r>
      <w:r>
        <w:t>HCV or PHV) has this facility. Is this list meant to exclude minibuses? Or “black cabs”? Or something else? It is entirely unclear, and its presence in the guidance devalues the remainder.</w:t>
      </w:r>
    </w:p>
    <w:p w14:paraId="516956EC" w14:textId="77777777" w:rsidR="00D73199" w:rsidRDefault="00D73199" w:rsidP="00D73199">
      <w:pPr>
        <w:pStyle w:val="Heading3"/>
      </w:pPr>
      <w:bookmarkStart w:id="150" w:name="_Toc512556922"/>
      <w:r>
        <w:t>“Outsize” wheelchairs</w:t>
      </w:r>
      <w:bookmarkEnd w:id="150"/>
    </w:p>
    <w:p w14:paraId="51388276" w14:textId="77777777" w:rsidR="00D73199" w:rsidRDefault="00D73199" w:rsidP="00D73199">
      <w:r>
        <w:t>However, other good practice recommendations in the guidance are important and would make a major difference to disabled people if implemented. For example, the suggestion:</w:t>
      </w:r>
    </w:p>
    <w:p w14:paraId="7FF1C3D4" w14:textId="77777777" w:rsidR="00D73199" w:rsidRDefault="00D73199" w:rsidP="00D73199">
      <w:pPr>
        <w:pStyle w:val="Quote"/>
      </w:pPr>
      <w:r w:rsidRPr="0089533C">
        <w:t>it would also be helpful to include information about the size and weight of wheelchair that can be accommodated, and whether wheelchairs that are larger than a “reference wheelchair” can be accommodated.</w:t>
      </w:r>
    </w:p>
    <w:p w14:paraId="78F2897C" w14:textId="77777777" w:rsidR="00D73199" w:rsidRPr="0089533C" w:rsidRDefault="00D73199" w:rsidP="00D73199">
      <w:r>
        <w:t>This:</w:t>
      </w:r>
    </w:p>
    <w:p w14:paraId="0B91426D" w14:textId="77777777" w:rsidR="00D73199" w:rsidRDefault="00D73199" w:rsidP="00D73199">
      <w:pPr>
        <w:pStyle w:val="Quote"/>
      </w:pPr>
      <w:r w:rsidRPr="0089533C">
        <w:t>aims to ensure that users of larger wheelchairs have sufficient information about the vehicles that will be available to them to make informed choices about their journeys.</w:t>
      </w:r>
    </w:p>
    <w:p w14:paraId="5EAE041F" w14:textId="05A24A91" w:rsidR="00D73199" w:rsidRDefault="00D73199" w:rsidP="00D73199">
      <w:r>
        <w:t>This is important. I know multiple wheelchair users whose wheelchairs are bigger than the 120x70cm footprint of the “reference wheelchair”, or over 135cm height. They need and deserve effective information to enable them to travel by taxi just as much as any other person. Yet only 10 of the 124 licensing authorities with S167 lists state on their lists what size of wheelchair each vehicle can take; thus leaving wheelchair users to fend for themselves for such information. This does such wheelchair users a great disservice.</w:t>
      </w:r>
    </w:p>
    <w:p w14:paraId="54E0FFC3" w14:textId="77777777" w:rsidR="00D73199" w:rsidRDefault="00D73199" w:rsidP="00D73199">
      <w:pPr>
        <w:pStyle w:val="Heading3"/>
      </w:pPr>
      <w:bookmarkStart w:id="151" w:name="_Toc512556923"/>
      <w:r>
        <w:t>Leaving the meter running</w:t>
      </w:r>
      <w:bookmarkEnd w:id="151"/>
    </w:p>
    <w:p w14:paraId="56C0C843" w14:textId="77777777" w:rsidR="00D73199" w:rsidRDefault="00D73199" w:rsidP="00D73199">
      <w:r>
        <w:t>The guidance recommends:</w:t>
      </w:r>
    </w:p>
    <w:p w14:paraId="3CCF85CF" w14:textId="254E0D98" w:rsidR="00D73199" w:rsidRDefault="00D73199" w:rsidP="00D73199">
      <w:pPr>
        <w:pStyle w:val="Quote"/>
      </w:pPr>
      <w:r w:rsidRPr="00247508">
        <w:t>licensing authority rules for drivers are updated to make clear when a meter can and cannot be left running.</w:t>
      </w:r>
    </w:p>
    <w:p w14:paraId="3E6C45D4" w14:textId="2AECA98D" w:rsidR="00D660E4" w:rsidRPr="00D660E4" w:rsidRDefault="00D660E4" w:rsidP="00D660E4">
      <w:r>
        <w:t>This is the primary mechanism for determining if a driver has overcharged a wheelchair user, in contravention of the Act. It is therefore important that this is implemented – yet only 43% of authorities with S167 lists have done so.</w:t>
      </w:r>
    </w:p>
    <w:p w14:paraId="26D862FA" w14:textId="77777777" w:rsidR="006661C1" w:rsidRDefault="00465774" w:rsidP="009E1B75">
      <w:pPr>
        <w:pStyle w:val="Heading2"/>
      </w:pPr>
      <w:bookmarkStart w:id="152" w:name="_Toc512556924"/>
      <w:r>
        <w:lastRenderedPageBreak/>
        <w:t>Areas with poor provision</w:t>
      </w:r>
      <w:bookmarkEnd w:id="146"/>
      <w:bookmarkEnd w:id="147"/>
      <w:bookmarkEnd w:id="152"/>
    </w:p>
    <w:p w14:paraId="17B691D4" w14:textId="5F06E6CD" w:rsidR="00CD58BC" w:rsidRDefault="00CD58BC" w:rsidP="006661C1">
      <w:r>
        <w:t>There remain many “no</w:t>
      </w:r>
      <w:r w:rsidR="000573F2">
        <w:t>–</w:t>
      </w:r>
      <w:r>
        <w:t>go” regions of Great Britain that have no usable provision of wheelchair accessible taxis. There has been no systemic increase in provision of accessible taxis</w:t>
      </w:r>
      <w:r w:rsidR="0098078A">
        <w:t xml:space="preserve"> over the last two </w:t>
      </w:r>
      <w:r w:rsidR="002234D0">
        <w:t>years. There is no evidence of any</w:t>
      </w:r>
      <w:r>
        <w:t xml:space="preserve"> significant increase in licensing authorities’ actions to remedy this situation. </w:t>
      </w:r>
      <w:r w:rsidR="002234D0">
        <w:t xml:space="preserve">Most </w:t>
      </w:r>
      <w:r>
        <w:t xml:space="preserve">licensing authorities are not using the statutory powers available to them </w:t>
      </w:r>
      <w:r w:rsidR="00827861">
        <w:t>to</w:t>
      </w:r>
      <w:r>
        <w:t xml:space="preserve"> improve taxi provision for wheelchair users.</w:t>
      </w:r>
    </w:p>
    <w:p w14:paraId="2911553C" w14:textId="5C97EE00" w:rsidR="00CD58BC" w:rsidRDefault="00CD58BC" w:rsidP="006661C1">
      <w:r>
        <w:t xml:space="preserve">Many do not use their powers to limit a proportion of licenses to wheelchair accessible vehicles, to require drivers undergo disability awareness training or to implement the S165 discrimination legislation. </w:t>
      </w:r>
    </w:p>
    <w:p w14:paraId="4B9260C6" w14:textId="3882A1AB" w:rsidR="008F6F05" w:rsidRDefault="008F6F05" w:rsidP="006661C1">
      <w:r>
        <w:t xml:space="preserve">Many authorities are actively “going backwards” – they previously had such policies but have rescinded them. </w:t>
      </w:r>
      <w:r w:rsidR="002234D0">
        <w:t>Some are evidently antipathetic to implementing the powers given to them by the legislation.</w:t>
      </w:r>
    </w:p>
    <w:p w14:paraId="0B50B10A" w14:textId="55FAE45D" w:rsidR="008F6F05" w:rsidRDefault="008F6F05" w:rsidP="006661C1">
      <w:r>
        <w:t>The availability of accessible taxi provision to disabled people is very variable across the country</w:t>
      </w:r>
      <w:r w:rsidR="002234D0">
        <w:t>. One may assume that wheelchair users’ experience of taxi provision varies similarly.</w:t>
      </w:r>
      <w:r>
        <w:t xml:space="preserve"> </w:t>
      </w:r>
    </w:p>
    <w:p w14:paraId="130B3A02" w14:textId="77777777" w:rsidR="00AD22EB" w:rsidRDefault="00AD22EB" w:rsidP="00AD22EB">
      <w:pPr>
        <w:pStyle w:val="Heading2"/>
      </w:pPr>
      <w:bookmarkStart w:id="153" w:name="_Toc488088791"/>
      <w:bookmarkStart w:id="154" w:name="_Toc488093179"/>
      <w:bookmarkStart w:id="155" w:name="_Toc512556925"/>
      <w:r>
        <w:t>Unclear guidance</w:t>
      </w:r>
      <w:bookmarkEnd w:id="153"/>
      <w:bookmarkEnd w:id="154"/>
      <w:bookmarkEnd w:id="155"/>
    </w:p>
    <w:p w14:paraId="30BD28FB" w14:textId="2B138130" w:rsidR="00AD22EB" w:rsidRDefault="007C4FDE" w:rsidP="00AD22EB">
      <w:r>
        <w:t>My recent</w:t>
      </w:r>
      <w:r w:rsidR="008F6F05">
        <w:t xml:space="preserve"> research still give</w:t>
      </w:r>
      <w:r>
        <w:t>s</w:t>
      </w:r>
      <w:r w:rsidR="008F6F05">
        <w:t xml:space="preserve"> no indication that t</w:t>
      </w:r>
      <w:r w:rsidR="00AD22EB">
        <w:t>he Department for Transport</w:t>
      </w:r>
      <w:r w:rsidR="008F6F05">
        <w:t xml:space="preserve"> has addressed its failure to provide </w:t>
      </w:r>
      <w:r w:rsidR="00AD22EB">
        <w:t xml:space="preserve">guidance </w:t>
      </w:r>
      <w:r w:rsidR="008F6F05">
        <w:t xml:space="preserve">to authorities with </w:t>
      </w:r>
      <w:r w:rsidR="00AD22EB">
        <w:t>100% wheelchair accessible taxi</w:t>
      </w:r>
      <w:r w:rsidR="00973ACA">
        <w:t xml:space="preserve"> </w:t>
      </w:r>
      <w:r w:rsidR="001C50B6">
        <w:t>fleet</w:t>
      </w:r>
      <w:r w:rsidR="00AD22EB">
        <w:t xml:space="preserve">s </w:t>
      </w:r>
      <w:r w:rsidR="008F6F05">
        <w:t xml:space="preserve">as to what they </w:t>
      </w:r>
      <w:r w:rsidR="00AD22EB">
        <w:t xml:space="preserve">need to take </w:t>
      </w:r>
      <w:r w:rsidR="002F4A0F">
        <w:t>to</w:t>
      </w:r>
      <w:r w:rsidR="00973ACA">
        <w:t xml:space="preserve"> make </w:t>
      </w:r>
      <w:r w:rsidR="00AD22EB">
        <w:t xml:space="preserve">taxi licensees </w:t>
      </w:r>
      <w:r w:rsidR="001C50B6">
        <w:t>subject to</w:t>
      </w:r>
      <w:r w:rsidR="00AD22EB">
        <w:t xml:space="preserve"> the new anti-discrimination duties. This fundamental failure means that over half of the 28 authorities who only license accessible taxis have no current intent to create valid S167 lists. Taxi drivers in these areas can discriminate against wheelchair users with impunity.</w:t>
      </w:r>
    </w:p>
    <w:p w14:paraId="6D7BFFE0" w14:textId="77777777" w:rsidR="007C4FDE" w:rsidRDefault="008F6F05" w:rsidP="00AD22EB">
      <w:r>
        <w:t xml:space="preserve">Authorities’ bemusement at the Department for Transport’s recommendation that “LAs also publish a list of vehicles that are accessible to passengers in wheelchairs who are able to transfer from their wheelchair into a seat within the vehicle” was universal. This resulted in few authorities complying with this recommendation. </w:t>
      </w:r>
    </w:p>
    <w:p w14:paraId="21571A77" w14:textId="6EC3ED85" w:rsidR="008F6F05" w:rsidRDefault="008F6F05" w:rsidP="00AD22EB">
      <w:r>
        <w:t xml:space="preserve">It is my opinion that inclusion of this recommendation in the statutory guidance </w:t>
      </w:r>
      <w:r w:rsidR="00E06D10">
        <w:t>made the guidance less credible and likely affected some authorities’ approach to the legislation.</w:t>
      </w:r>
    </w:p>
    <w:p w14:paraId="42AE104C" w14:textId="6F0C37EF" w:rsidR="00AD22EB" w:rsidRDefault="00E06D10" w:rsidP="00AD22EB">
      <w:pPr>
        <w:pStyle w:val="Heading2"/>
      </w:pPr>
      <w:bookmarkStart w:id="156" w:name="_Toc488088792"/>
      <w:bookmarkStart w:id="157" w:name="_Toc488093180"/>
      <w:bookmarkStart w:id="158" w:name="_Toc512556926"/>
      <w:r>
        <w:t xml:space="preserve">Lack of </w:t>
      </w:r>
      <w:r w:rsidR="00AD22EB">
        <w:t>enforcement</w:t>
      </w:r>
      <w:bookmarkEnd w:id="156"/>
      <w:bookmarkEnd w:id="157"/>
      <w:bookmarkEnd w:id="158"/>
    </w:p>
    <w:p w14:paraId="12C35699" w14:textId="77777777" w:rsidR="007C4FDE" w:rsidRDefault="007C4FDE" w:rsidP="00AB296E">
      <w:r>
        <w:t xml:space="preserve">There are 30,298 wheelchair accessible hackney carriages licensed by </w:t>
      </w:r>
      <w:r w:rsidR="00D63F41">
        <w:t xml:space="preserve">the 119 authorities that have implemented S167 of the Act. </w:t>
      </w:r>
      <w:r>
        <w:t>Yet there has been no enforcement action taken against any driver.</w:t>
      </w:r>
    </w:p>
    <w:p w14:paraId="5E06CD8A" w14:textId="6FF4FAFF" w:rsidR="007C4FDE" w:rsidRDefault="00D63F41" w:rsidP="00AB296E">
      <w:r>
        <w:t xml:space="preserve">It is not credible to believe that </w:t>
      </w:r>
      <w:r w:rsidR="007C4FDE">
        <w:t xml:space="preserve">since this legislation was implemented, </w:t>
      </w:r>
      <w:r>
        <w:t xml:space="preserve">none of the drivers of </w:t>
      </w:r>
      <w:r w:rsidR="007C4FDE">
        <w:t>any of</w:t>
      </w:r>
      <w:r>
        <w:t xml:space="preserve"> those taxis have refused a wheelchair user travel, failed to strap the wheelchair user or their wheelchair in properly, left the meter running whilst loading a wheelchair user or failed to assist the wheelchair user into or out of their taxi. </w:t>
      </w:r>
      <w:r w:rsidR="007C4FDE">
        <w:t>I have personally experienced discrimination in these terms, by drivers of vehicles on a s167 list.</w:t>
      </w:r>
    </w:p>
    <w:p w14:paraId="4D47AFFB" w14:textId="640990D9" w:rsidR="00E06D10" w:rsidRDefault="00D63F41" w:rsidP="00AB296E">
      <w:r>
        <w:t xml:space="preserve">One therefore </w:t>
      </w:r>
      <w:r w:rsidR="00827861">
        <w:t>must</w:t>
      </w:r>
      <w:r>
        <w:t xml:space="preserve"> wonder why there have been no cases brought under this legislation.</w:t>
      </w:r>
    </w:p>
    <w:p w14:paraId="647840A3" w14:textId="24822A41" w:rsidR="00D63F41" w:rsidRDefault="00D63F41" w:rsidP="00AB296E">
      <w:r>
        <w:lastRenderedPageBreak/>
        <w:t>Legislation without enforcement is only guidance; and as I stated in my previous report, guidance hasn’t resulted in the full, guaranteed access that disabled people need and deserve.</w:t>
      </w:r>
    </w:p>
    <w:p w14:paraId="309BC273" w14:textId="396C7F85" w:rsidR="00D63F41" w:rsidRDefault="00D63F41" w:rsidP="00D63F41">
      <w:pPr>
        <w:pStyle w:val="Heading2"/>
      </w:pPr>
      <w:bookmarkStart w:id="159" w:name="_Toc512556927"/>
      <w:r>
        <w:t>Failure of the legislation</w:t>
      </w:r>
      <w:bookmarkEnd w:id="159"/>
    </w:p>
    <w:p w14:paraId="5D42178D" w14:textId="0BB5FC78" w:rsidR="0083423C" w:rsidRDefault="000823FF" w:rsidP="00C45B02">
      <w:r>
        <w:t xml:space="preserve">Licensing authorities’ lack of implementation </w:t>
      </w:r>
      <w:r w:rsidR="007C4FDE">
        <w:t>and</w:t>
      </w:r>
      <w:r>
        <w:t xml:space="preserve"> enforcement </w:t>
      </w:r>
      <w:r w:rsidR="007C4FDE">
        <w:t>of sections 165</w:t>
      </w:r>
      <w:r w:rsidR="000573F2">
        <w:t>–</w:t>
      </w:r>
      <w:r w:rsidR="007C4FDE">
        <w:t xml:space="preserve">167 of the Equality Act </w:t>
      </w:r>
      <w:r>
        <w:t>leads me to the conclusion that this legislation has failed to provide its intended result: prevention and punishment of taxi drivers’ discrimination against wheelchair users.</w:t>
      </w:r>
    </w:p>
    <w:p w14:paraId="10942D88" w14:textId="4F30C74C" w:rsidR="00176B2F" w:rsidRDefault="00176B2F" w:rsidP="00C45B02">
      <w:r>
        <w:t xml:space="preserve">Guidance, exhortations and recommendations from the Department for Transport and other bodies have not resulted in significant </w:t>
      </w:r>
      <w:r w:rsidR="007C4FDE">
        <w:t xml:space="preserve">improvements in </w:t>
      </w:r>
      <w:r>
        <w:t>implementation and enforcement of this legislation</w:t>
      </w:r>
      <w:r w:rsidR="007C4FDE">
        <w:t>. T</w:t>
      </w:r>
      <w:r>
        <w:t xml:space="preserve">here is no evidence that such is likely to have an effect in the future. </w:t>
      </w:r>
    </w:p>
    <w:p w14:paraId="1D5A9989" w14:textId="7DD17430" w:rsidR="000573F2" w:rsidRDefault="000573F2" w:rsidP="00C45B02">
      <w:r>
        <w:t>The implementation and enforcement of this legislation is so lamentably poor, with no sign of improvement, that it is likely that it can only be remedied by new primary legislation.</w:t>
      </w:r>
    </w:p>
    <w:p w14:paraId="692B046D" w14:textId="77777777" w:rsidR="00D57766" w:rsidRPr="0089533C" w:rsidRDefault="00D57766" w:rsidP="0089533C"/>
    <w:p w14:paraId="4B8E584F" w14:textId="77777777" w:rsidR="00E536D4" w:rsidRDefault="00EA1B55" w:rsidP="00EA1B55">
      <w:pPr>
        <w:pStyle w:val="Heading1"/>
      </w:pPr>
      <w:bookmarkStart w:id="160" w:name="_Toc488088795"/>
      <w:bookmarkStart w:id="161" w:name="_Toc488093183"/>
      <w:bookmarkStart w:id="162" w:name="_Toc512556928"/>
      <w:r>
        <w:lastRenderedPageBreak/>
        <w:t>Conclusion</w:t>
      </w:r>
      <w:bookmarkEnd w:id="160"/>
      <w:bookmarkEnd w:id="161"/>
      <w:bookmarkEnd w:id="162"/>
    </w:p>
    <w:p w14:paraId="2EDEB19B" w14:textId="77777777" w:rsidR="00EA1B55" w:rsidRDefault="00EA1B55" w:rsidP="00EA1B55"/>
    <w:p w14:paraId="21CBFCEB" w14:textId="6442A13B" w:rsidR="00176B2F" w:rsidRDefault="00EA1B55" w:rsidP="00EA1B55">
      <w:r>
        <w:t xml:space="preserve">In the main, </w:t>
      </w:r>
      <w:r w:rsidR="00C04EC4">
        <w:t>taxi licensing authorities</w:t>
      </w:r>
      <w:r>
        <w:t xml:space="preserve"> are </w:t>
      </w:r>
      <w:r w:rsidR="00D42091">
        <w:t xml:space="preserve">still </w:t>
      </w:r>
      <w:r>
        <w:t>not engaging with their power to outlaw taxi drivers’ discrimin</w:t>
      </w:r>
      <w:r w:rsidR="00C04EC4">
        <w:t xml:space="preserve">ation against wheelchair users. </w:t>
      </w:r>
      <w:r w:rsidR="00176B2F">
        <w:t>Even where the legislation has been implemented, licensing authorities have not taken any enforcement action.</w:t>
      </w:r>
    </w:p>
    <w:p w14:paraId="38FFDAD6" w14:textId="77777777" w:rsidR="000573F2" w:rsidRDefault="000573F2" w:rsidP="000573F2">
      <w:r>
        <w:t>The failure of local authorities to implement and enforce the taxi anti-discrimination provisions in the Equality Act renders the legislation ineffective and undermines the purpose for which it was introduced.</w:t>
      </w:r>
    </w:p>
    <w:p w14:paraId="27225992" w14:textId="0BC47BAA" w:rsidR="007C4FDE" w:rsidRDefault="00C04EC4" w:rsidP="00EA1B55">
      <w:r>
        <w:t xml:space="preserve">As a result, the recent commencement of sections 165 and 167 of the Equality Act will have no effect </w:t>
      </w:r>
      <w:r w:rsidR="007C4FDE">
        <w:t xml:space="preserve">on disabled people’s experiences </w:t>
      </w:r>
      <w:r>
        <w:t>in m</w:t>
      </w:r>
      <w:r w:rsidR="007C4FDE">
        <w:t>ost</w:t>
      </w:r>
      <w:r>
        <w:t xml:space="preserve"> areas of the UK. </w:t>
      </w:r>
    </w:p>
    <w:p w14:paraId="30505828" w14:textId="4215E6FD" w:rsidR="003954F6" w:rsidRDefault="000573F2" w:rsidP="00EA1B55">
      <w:r>
        <w:t>Inconsistent</w:t>
      </w:r>
      <w:r w:rsidR="003954F6">
        <w:t xml:space="preserve"> approaches to provision of wheelchair accessible taxis</w:t>
      </w:r>
      <w:r w:rsidR="007C4FDE">
        <w:t xml:space="preserve"> means that poor availability of such vehicles in many areas </w:t>
      </w:r>
      <w:r w:rsidR="00176B2F">
        <w:t>has not improved</w:t>
      </w:r>
      <w:r w:rsidR="007C4FDE">
        <w:t xml:space="preserve"> over the last two years.</w:t>
      </w:r>
    </w:p>
    <w:p w14:paraId="25023ED5" w14:textId="667DAE4A" w:rsidR="00C04EC4" w:rsidRDefault="00C45B02" w:rsidP="00EA1B55">
      <w:r>
        <w:t>Primary legislation</w:t>
      </w:r>
      <w:r w:rsidR="0083423C">
        <w:t xml:space="preserve"> </w:t>
      </w:r>
      <w:r w:rsidR="00176B2F">
        <w:t>is</w:t>
      </w:r>
      <w:r w:rsidR="0083423C">
        <w:t xml:space="preserve"> required to remedy </w:t>
      </w:r>
      <w:r w:rsidR="000573F2">
        <w:t>these failures.</w:t>
      </w:r>
    </w:p>
    <w:p w14:paraId="62313902" w14:textId="5D2BCC36" w:rsidR="00D7621D" w:rsidRDefault="00D7621D" w:rsidP="00D7621D">
      <w:pPr>
        <w:pStyle w:val="Heading1"/>
      </w:pPr>
      <w:bookmarkStart w:id="163" w:name="_Toc488088796"/>
      <w:bookmarkStart w:id="164" w:name="_Toc488093184"/>
      <w:bookmarkStart w:id="165" w:name="_Toc512556929"/>
      <w:r>
        <w:lastRenderedPageBreak/>
        <w:t>Recommendations</w:t>
      </w:r>
      <w:bookmarkEnd w:id="163"/>
      <w:bookmarkEnd w:id="164"/>
      <w:bookmarkEnd w:id="165"/>
      <w:r w:rsidR="00176B2F">
        <w:t xml:space="preserve"> </w:t>
      </w:r>
    </w:p>
    <w:p w14:paraId="744627E7" w14:textId="10DFFB11" w:rsidR="00176B2F" w:rsidRPr="00176B2F" w:rsidRDefault="00176B2F" w:rsidP="00176B2F">
      <w:r>
        <w:t xml:space="preserve">These remain unchanged from </w:t>
      </w:r>
      <w:r w:rsidR="000573F2">
        <w:t>my</w:t>
      </w:r>
      <w:r>
        <w:t xml:space="preserve"> previous report.</w:t>
      </w:r>
    </w:p>
    <w:p w14:paraId="1564F472" w14:textId="77777777" w:rsidR="00D7621D" w:rsidRDefault="00D7621D" w:rsidP="00D7621D">
      <w:pPr>
        <w:pStyle w:val="Heading2"/>
        <w:numPr>
          <w:ilvl w:val="0"/>
          <w:numId w:val="30"/>
        </w:numPr>
      </w:pPr>
      <w:bookmarkStart w:id="166" w:name="_Toc488088797"/>
      <w:bookmarkStart w:id="167" w:name="_Toc488093185"/>
      <w:bookmarkStart w:id="168" w:name="_Toc512556930"/>
      <w:r>
        <w:t>To the Department for Transport</w:t>
      </w:r>
      <w:bookmarkEnd w:id="166"/>
      <w:bookmarkEnd w:id="167"/>
      <w:bookmarkEnd w:id="168"/>
    </w:p>
    <w:p w14:paraId="5D027069" w14:textId="54F4B8C6" w:rsidR="00D7621D" w:rsidRDefault="00D7621D" w:rsidP="00D7621D">
      <w:pPr>
        <w:pStyle w:val="ListParagraph"/>
        <w:numPr>
          <w:ilvl w:val="0"/>
          <w:numId w:val="31"/>
        </w:numPr>
      </w:pPr>
      <w:r>
        <w:t xml:space="preserve">Update the </w:t>
      </w:r>
      <w:r w:rsidR="00083734">
        <w:t xml:space="preserve">S167 </w:t>
      </w:r>
      <w:r>
        <w:t xml:space="preserve">Statutory Guidance to make clear to licensing authorities with 100% accessible </w:t>
      </w:r>
      <w:r w:rsidR="00871352">
        <w:t>taxi fleets, what actions the authority</w:t>
      </w:r>
      <w:r>
        <w:t xml:space="preserve"> need</w:t>
      </w:r>
      <w:r w:rsidR="00871352">
        <w:t>s</w:t>
      </w:r>
      <w:r>
        <w:t xml:space="preserve"> to take </w:t>
      </w:r>
      <w:r w:rsidR="007C0EB1">
        <w:t>to</w:t>
      </w:r>
      <w:r>
        <w:t xml:space="preserve"> implement S165 and S167 in their area</w:t>
      </w:r>
    </w:p>
    <w:p w14:paraId="419F526C" w14:textId="6A12C67C" w:rsidR="00D7621D" w:rsidRDefault="00D7621D" w:rsidP="00D7621D">
      <w:pPr>
        <w:pStyle w:val="ListParagraph"/>
        <w:numPr>
          <w:ilvl w:val="0"/>
          <w:numId w:val="31"/>
        </w:numPr>
      </w:pPr>
      <w:r>
        <w:t>Create</w:t>
      </w:r>
      <w:r w:rsidR="007A6860">
        <w:t xml:space="preserve"> and disseminate</w:t>
      </w:r>
      <w:r>
        <w:t xml:space="preserve"> model definitions of wheelchair accessible vehicles, and model enforcement policies and procedures</w:t>
      </w:r>
    </w:p>
    <w:p w14:paraId="1829D0C1" w14:textId="77777777" w:rsidR="00D7621D" w:rsidRPr="00D7621D" w:rsidRDefault="00D7621D" w:rsidP="00D7621D">
      <w:pPr>
        <w:pStyle w:val="ListParagraph"/>
        <w:numPr>
          <w:ilvl w:val="0"/>
          <w:numId w:val="31"/>
        </w:numPr>
      </w:pPr>
      <w:r>
        <w:t>Raise the profile of the guidance such that local authorities pay it “due regard”</w:t>
      </w:r>
    </w:p>
    <w:p w14:paraId="173A3596" w14:textId="77777777" w:rsidR="00D7621D" w:rsidRDefault="00D7621D" w:rsidP="00D7621D">
      <w:pPr>
        <w:pStyle w:val="Heading2"/>
        <w:numPr>
          <w:ilvl w:val="0"/>
          <w:numId w:val="30"/>
        </w:numPr>
      </w:pPr>
      <w:bookmarkStart w:id="169" w:name="_Toc488088798"/>
      <w:bookmarkStart w:id="170" w:name="_Toc488093186"/>
      <w:bookmarkStart w:id="171" w:name="_Toc512556931"/>
      <w:r>
        <w:t>To Local Authorities and TFL</w:t>
      </w:r>
      <w:bookmarkEnd w:id="169"/>
      <w:bookmarkEnd w:id="170"/>
      <w:bookmarkEnd w:id="171"/>
    </w:p>
    <w:p w14:paraId="2F267B2F" w14:textId="4582D32D" w:rsidR="00D7621D" w:rsidRDefault="00D7621D" w:rsidP="00D7621D">
      <w:pPr>
        <w:pStyle w:val="ListParagraph"/>
        <w:numPr>
          <w:ilvl w:val="0"/>
          <w:numId w:val="32"/>
        </w:numPr>
      </w:pPr>
      <w:r>
        <w:t>Implement a s167 list for taxis and private hire vehicles</w:t>
      </w:r>
      <w:r w:rsidR="007A6860">
        <w:t xml:space="preserve"> in your area</w:t>
      </w:r>
    </w:p>
    <w:p w14:paraId="72507CAF" w14:textId="698BE4A7" w:rsidR="00D7621D" w:rsidRDefault="00D7621D" w:rsidP="00D7621D">
      <w:pPr>
        <w:pStyle w:val="ListParagraph"/>
        <w:numPr>
          <w:ilvl w:val="0"/>
          <w:numId w:val="32"/>
        </w:numPr>
      </w:pPr>
      <w:r>
        <w:t>Do so even if all taxis licensed by yourselves are accessible</w:t>
      </w:r>
      <w:r w:rsidR="004A6C40">
        <w:t>,</w:t>
      </w:r>
      <w:r>
        <w:t xml:space="preserve"> or </w:t>
      </w:r>
      <w:r w:rsidR="004A6C40">
        <w:t xml:space="preserve">if </w:t>
      </w:r>
      <w:r>
        <w:t>you have very few accessible taxis</w:t>
      </w:r>
    </w:p>
    <w:p w14:paraId="14CC31C6" w14:textId="07A2B7BA" w:rsidR="00D7621D" w:rsidRDefault="00D7621D" w:rsidP="00D7621D">
      <w:pPr>
        <w:pStyle w:val="ListParagraph"/>
        <w:numPr>
          <w:ilvl w:val="0"/>
          <w:numId w:val="32"/>
        </w:numPr>
      </w:pPr>
      <w:r>
        <w:t>Consider whether the provision of accessible taxis in your area is adequate for disabled people’s needs, including whether most or all accessible taxis and PHVs are used for statutory bodies’ contracts. If there are insufficient</w:t>
      </w:r>
      <w:r w:rsidR="004A6C40">
        <w:t xml:space="preserve"> wheelchair accessible taxis available for </w:t>
      </w:r>
      <w:r w:rsidR="007F2DAA">
        <w:t>the general population’s needs</w:t>
      </w:r>
      <w:r>
        <w:t xml:space="preserve">, </w:t>
      </w:r>
      <w:r w:rsidR="007C0EB1">
        <w:t>act</w:t>
      </w:r>
      <w:r>
        <w:t xml:space="preserve"> to increase provision</w:t>
      </w:r>
    </w:p>
    <w:p w14:paraId="789E377E" w14:textId="793D73F8" w:rsidR="00D7621D" w:rsidRDefault="00D7621D" w:rsidP="00D7621D">
      <w:pPr>
        <w:pStyle w:val="ListParagraph"/>
        <w:numPr>
          <w:ilvl w:val="0"/>
          <w:numId w:val="32"/>
        </w:numPr>
      </w:pPr>
      <w:r>
        <w:t>Develop and implement proactive enforcement policies and procedures</w:t>
      </w:r>
      <w:r w:rsidR="007F2DAA">
        <w:t xml:space="preserve"> to ensure taxi drivers </w:t>
      </w:r>
      <w:r w:rsidR="001B1CDF">
        <w:t>comply with their obligations towards wheelchair users</w:t>
      </w:r>
    </w:p>
    <w:p w14:paraId="68C3D050" w14:textId="77777777" w:rsidR="00D7621D" w:rsidRDefault="00D7621D" w:rsidP="00D7621D">
      <w:pPr>
        <w:pStyle w:val="Heading2"/>
      </w:pPr>
      <w:bookmarkStart w:id="172" w:name="_Toc488088799"/>
      <w:bookmarkStart w:id="173" w:name="_Toc488093187"/>
      <w:bookmarkStart w:id="174" w:name="_Toc512556932"/>
      <w:r>
        <w:t>To disabled people, disabled people’s organisations and allies</w:t>
      </w:r>
      <w:bookmarkEnd w:id="172"/>
      <w:bookmarkEnd w:id="173"/>
      <w:bookmarkEnd w:id="174"/>
    </w:p>
    <w:p w14:paraId="3B1B6A80" w14:textId="77777777" w:rsidR="00D7621D" w:rsidRDefault="00D7621D" w:rsidP="00D7621D">
      <w:pPr>
        <w:ind w:firstLine="357"/>
      </w:pPr>
      <w:r>
        <w:t>(including me!)</w:t>
      </w:r>
    </w:p>
    <w:p w14:paraId="25D17762" w14:textId="77777777" w:rsidR="00D7621D" w:rsidRDefault="00D7621D" w:rsidP="00D7621D">
      <w:pPr>
        <w:pStyle w:val="ListParagraph"/>
        <w:numPr>
          <w:ilvl w:val="0"/>
          <w:numId w:val="34"/>
        </w:numPr>
      </w:pPr>
      <w:r>
        <w:t>Continue campaigning to raise the profile of the inadequacy of this law</w:t>
      </w:r>
    </w:p>
    <w:p w14:paraId="6FDDBDFF" w14:textId="77777777" w:rsidR="00D7621D" w:rsidRDefault="00794951" w:rsidP="00D7621D">
      <w:pPr>
        <w:pStyle w:val="ListParagraph"/>
        <w:numPr>
          <w:ilvl w:val="0"/>
          <w:numId w:val="34"/>
        </w:numPr>
      </w:pPr>
      <w:r>
        <w:t>Educate taxi licensing authorities in your area about sections 165 and 167 of the Act</w:t>
      </w:r>
    </w:p>
    <w:p w14:paraId="28CEBFD9" w14:textId="255784F8" w:rsidR="00794951" w:rsidRDefault="00794951" w:rsidP="00D7621D">
      <w:pPr>
        <w:pStyle w:val="ListParagraph"/>
        <w:numPr>
          <w:ilvl w:val="0"/>
          <w:numId w:val="34"/>
        </w:numPr>
      </w:pPr>
      <w:r>
        <w:t xml:space="preserve">Pressurise your licensing authorities to create a S167 list and to enforce </w:t>
      </w:r>
      <w:r w:rsidR="006227B4">
        <w:t xml:space="preserve">drivers’ </w:t>
      </w:r>
      <w:r>
        <w:t>compliance with S165</w:t>
      </w:r>
    </w:p>
    <w:p w14:paraId="7B9C6E09" w14:textId="77777777" w:rsidR="002A0182" w:rsidRDefault="00794951" w:rsidP="002A0182">
      <w:pPr>
        <w:pStyle w:val="ListParagraph"/>
        <w:numPr>
          <w:ilvl w:val="0"/>
          <w:numId w:val="34"/>
        </w:numPr>
      </w:pPr>
      <w:r>
        <w:t>Raise the profile of this issue such that a backbencher MP may consider bringing restorative primary legislation by means of a private members’ bill</w:t>
      </w:r>
      <w:bookmarkStart w:id="175" w:name="_Toc488088800"/>
    </w:p>
    <w:p w14:paraId="10FC124B" w14:textId="18F6F178" w:rsidR="00424AD0" w:rsidRDefault="00424AD0" w:rsidP="002A0182">
      <w:pPr>
        <w:pStyle w:val="Heading1"/>
      </w:pPr>
      <w:bookmarkStart w:id="176" w:name="_Toc488093188"/>
      <w:bookmarkStart w:id="177" w:name="_Toc512556933"/>
      <w:r>
        <w:lastRenderedPageBreak/>
        <w:t>Appendices</w:t>
      </w:r>
      <w:bookmarkEnd w:id="175"/>
      <w:bookmarkEnd w:id="176"/>
      <w:bookmarkEnd w:id="177"/>
    </w:p>
    <w:p w14:paraId="6138A3B1" w14:textId="1AE7A6E7" w:rsidR="000823FF" w:rsidRDefault="00424AD0" w:rsidP="00C82A45">
      <w:pPr>
        <w:pStyle w:val="Heading2"/>
        <w:numPr>
          <w:ilvl w:val="0"/>
          <w:numId w:val="0"/>
        </w:numPr>
        <w:ind w:left="720"/>
      </w:pPr>
      <w:bookmarkStart w:id="178" w:name="_Ref487746190"/>
      <w:bookmarkStart w:id="179" w:name="_Toc488088801"/>
      <w:bookmarkStart w:id="180" w:name="_Toc488093189"/>
      <w:bookmarkStart w:id="181" w:name="_Toc512556934"/>
      <w:r w:rsidRPr="00133F10">
        <w:t>Appendix 1</w:t>
      </w:r>
      <w:r w:rsidR="000C56EA">
        <w:t>:</w:t>
      </w:r>
      <w:r w:rsidRPr="00133F10">
        <w:t xml:space="preserve"> </w:t>
      </w:r>
      <w:r w:rsidR="000823FF">
        <w:t xml:space="preserve">Sample </w:t>
      </w:r>
      <w:r w:rsidRPr="00133F10">
        <w:t>Freedom of Information request</w:t>
      </w:r>
      <w:bookmarkEnd w:id="181"/>
      <w:r w:rsidRPr="00133F10">
        <w:t xml:space="preserve"> </w:t>
      </w:r>
      <w:bookmarkEnd w:id="178"/>
      <w:bookmarkEnd w:id="179"/>
      <w:bookmarkEnd w:id="180"/>
    </w:p>
    <w:p w14:paraId="1882574C" w14:textId="77777777" w:rsidR="000823FF" w:rsidRDefault="000823FF" w:rsidP="00C22083"/>
    <w:p w14:paraId="0A86CB1B" w14:textId="54ECB902" w:rsidR="00C22083" w:rsidRPr="00C22083" w:rsidRDefault="00C22083" w:rsidP="00C22083">
      <w:r>
        <w:t>Dear (authority),</w:t>
      </w:r>
    </w:p>
    <w:p w14:paraId="372773E0" w14:textId="5E8B978D" w:rsidR="00C22083" w:rsidRDefault="00C22083" w:rsidP="00C22083">
      <w:pPr>
        <w:jc w:val="left"/>
      </w:pPr>
      <w:r>
        <w:t>I am writing this Freedom of Information Request in relation to your Council's compliance or otherwise with the Government's statutory guidance on implementation of S165</w:t>
      </w:r>
      <w:r w:rsidR="000573F2">
        <w:t>–</w:t>
      </w:r>
      <w:r>
        <w:t>167 of the Equality Act, relating to taxi services for wheelchair users. All taxi licensing bodies are obliged under S167(6) to have "</w:t>
      </w:r>
      <w:r w:rsidRPr="00C22083">
        <w:rPr>
          <w:i/>
        </w:rPr>
        <w:t>due regard</w:t>
      </w:r>
      <w:r>
        <w:t>" to the document "</w:t>
      </w:r>
      <w:r w:rsidRPr="00C22083">
        <w:rPr>
          <w:i/>
        </w:rPr>
        <w:t>Access for wheelchair users to taxis and private hire vehicles: statutory guidance</w:t>
      </w:r>
      <w:r>
        <w:t xml:space="preserve">" at </w:t>
      </w:r>
      <w:r w:rsidRPr="00C22083">
        <w:t>https://www.gov.uk/government/uploads/system/uploads/attachment_data/file/593350/access-for-wheelchair-users-taxis-and-private-hire-vehicles.pdf</w:t>
      </w:r>
      <w:r>
        <w:t>. The questions I raise below should be interpreted as requests for recorded information under the Freedom of Information Act.</w:t>
      </w:r>
    </w:p>
    <w:p w14:paraId="19106107" w14:textId="5E684167" w:rsidR="00C22083" w:rsidRDefault="00C22083" w:rsidP="00C22083">
      <w:r>
        <w:t>I have previously made a similar request to you in April 2017. 6+ months later, I am repeating the request with some variations. I am repeating because the Statutory Guidance states "</w:t>
      </w:r>
      <w:r w:rsidRPr="00C22083">
        <w:rPr>
          <w:i/>
        </w:rPr>
        <w:t>We would expect these arrangements to take no more than a maximum of six months to put in place, following the commencement of these provisions</w:t>
      </w:r>
      <w:r>
        <w:t xml:space="preserve">" </w:t>
      </w:r>
      <w:r w:rsidR="000573F2">
        <w:t>–</w:t>
      </w:r>
      <w:r>
        <w:t xml:space="preserve"> "</w:t>
      </w:r>
      <w:r w:rsidRPr="00C22083">
        <w:rPr>
          <w:i/>
        </w:rPr>
        <w:t>these provisions</w:t>
      </w:r>
      <w:r>
        <w:t>" having been commenced on 6th April.</w:t>
      </w:r>
    </w:p>
    <w:p w14:paraId="1EAC32FD" w14:textId="77777777" w:rsidR="00C22083" w:rsidRDefault="00C22083" w:rsidP="00C22083">
      <w:r>
        <w:t>In response to my previous FOI request on similar matters in April 2017, you indicated that you did not have a Section 167 list but were intending to create such a list in the relatively imminent future.</w:t>
      </w:r>
    </w:p>
    <w:p w14:paraId="08454076" w14:textId="7AD96E9B" w:rsidR="00C22083" w:rsidRDefault="00C22083" w:rsidP="00C22083">
      <w:r>
        <w:t>1) The Government guidance states: "</w:t>
      </w:r>
      <w:r w:rsidRPr="00C22083">
        <w:rPr>
          <w:i/>
        </w:rPr>
        <w:t>Whilst LAs are under no specific legal obligation to maintain a list under section 167, the Government recommends strongly that they do so. Without such a list the requirements of section 165 of the Act do not apply, and drivers may continue to refuse the carriage of wheelchair users, fail to provide them with assistance, or to charge them extra.</w:t>
      </w:r>
      <w:r>
        <w:t>"</w:t>
      </w:r>
    </w:p>
    <w:p w14:paraId="63C6AE2E" w14:textId="77777777" w:rsidR="00C22083" w:rsidRDefault="00C22083" w:rsidP="00C22083">
      <w:r>
        <w:t>Please can you indicate whether you do now have a list of wheelchair accessible taxis under your powers set out in Section 167 of the Equality Act 2010, and/or a list of wheelchair accessible private hire vehicles?</w:t>
      </w:r>
    </w:p>
    <w:p w14:paraId="39C256B1" w14:textId="77777777" w:rsidR="00C22083" w:rsidRDefault="00C22083" w:rsidP="00C22083">
      <w:r>
        <w:t>2) If you do now have such a list, please provide information in response to the following questions 2a) to 2j):</w:t>
      </w:r>
    </w:p>
    <w:p w14:paraId="6F84A75A" w14:textId="77777777" w:rsidR="00C22083" w:rsidRDefault="00C22083" w:rsidP="00C22083">
      <w:pPr>
        <w:ind w:left="720"/>
      </w:pPr>
      <w:r>
        <w:t>2a) On what date was it put in place?</w:t>
      </w:r>
    </w:p>
    <w:p w14:paraId="4F152CD8" w14:textId="77777777" w:rsidR="00C22083" w:rsidRDefault="00C22083" w:rsidP="00C22083">
      <w:pPr>
        <w:ind w:left="720"/>
      </w:pPr>
      <w:r>
        <w:t>2b) The statutory guidance states "</w:t>
      </w:r>
      <w:r w:rsidRPr="00C22083">
        <w:rPr>
          <w:i/>
        </w:rPr>
        <w:t>The Government therefore recommends that a vehicle should only be included in the authority’s (S167) list if it would be possible for the user of a “reference wheelchair” to enter, leave and travel in the passenger compartment in safety and reasonable comfort whilst seated in their wheelchair.</w:t>
      </w:r>
      <w:r>
        <w:t>"</w:t>
      </w:r>
    </w:p>
    <w:p w14:paraId="7A662BC3" w14:textId="77777777" w:rsidR="00C22083" w:rsidRDefault="00C22083" w:rsidP="00C22083">
      <w:pPr>
        <w:ind w:left="720"/>
      </w:pPr>
      <w:r>
        <w:t>Is this the definition you have used for a taxi or PHV to be considered wheelchair accessible for the purposes of the list?</w:t>
      </w:r>
    </w:p>
    <w:p w14:paraId="5B47CA5D" w14:textId="77777777" w:rsidR="00C22083" w:rsidRDefault="00C22083" w:rsidP="00C22083">
      <w:pPr>
        <w:ind w:left="720"/>
      </w:pPr>
      <w:r>
        <w:lastRenderedPageBreak/>
        <w:t>2c) The statutory guidance states: "</w:t>
      </w:r>
      <w:r w:rsidRPr="00C22083">
        <w:rPr>
          <w:i/>
        </w:rPr>
        <w:t>Before drivers can be subject to the duties under section 165 of the Act, the LA must first publish their list of designated vehicles, and clearly mark it as ‘designated for the purposes of section 165 of the Act’. LAs should ensure that their designated lists are made easily available to passengers, and that vehicle owners and drivers are made aware. Lists should set out the details of the make and model of the vehicle, together with specifying whether the vehicle is a taxi or private hire vehicle, and stating the name of operator.</w:t>
      </w:r>
      <w:r>
        <w:t>"</w:t>
      </w:r>
    </w:p>
    <w:p w14:paraId="6C2B4206" w14:textId="77777777" w:rsidR="00C22083" w:rsidRDefault="00C22083" w:rsidP="00C22083">
      <w:pPr>
        <w:ind w:left="720"/>
      </w:pPr>
      <w:r>
        <w:t>Have you published your list? Is it marked "</w:t>
      </w:r>
      <w:r w:rsidRPr="00C22083">
        <w:rPr>
          <w:i/>
        </w:rPr>
        <w:t>designated for the purposes of Section 165 of the Act</w:t>
      </w:r>
      <w:r>
        <w:t>"? Is the make and model of each vehicle listed? Is each vehicle identified as a taxi or a private hire vehicle? Is the name of the operator of each vehicle given in the list? Have you made owners and drivers of vehicles on the list aware that their vehicle has been listed?</w:t>
      </w:r>
    </w:p>
    <w:p w14:paraId="1B8C9AE2" w14:textId="77777777" w:rsidR="00C22083" w:rsidRDefault="00C22083" w:rsidP="00C22083">
      <w:pPr>
        <w:ind w:left="720"/>
      </w:pPr>
      <w:r>
        <w:t>2d) The guidance states: "</w:t>
      </w:r>
      <w:r w:rsidRPr="00C22083">
        <w:rPr>
          <w:i/>
        </w:rPr>
        <w:t>it would also be helpful to include information about the size and weight of wheelchair that can be accommodated, and whether wheelchairs that are larger than a “reference wheelchair” can be accommodated.</w:t>
      </w:r>
      <w:r>
        <w:t>"</w:t>
      </w:r>
    </w:p>
    <w:p w14:paraId="7C1EA238" w14:textId="77777777" w:rsidR="00C22083" w:rsidRDefault="00C22083" w:rsidP="00C22083">
      <w:pPr>
        <w:ind w:left="720"/>
      </w:pPr>
      <w:r>
        <w:t>Does your list include information on each vehicle as to the size and weight of wheelchair that can be accommodated, and whether wheelchairs larger than a "</w:t>
      </w:r>
      <w:r w:rsidRPr="00C22083">
        <w:rPr>
          <w:i/>
        </w:rPr>
        <w:t>reference wheelchair</w:t>
      </w:r>
      <w:r>
        <w:t>" can be accommodated?</w:t>
      </w:r>
    </w:p>
    <w:p w14:paraId="0ED94D70" w14:textId="77777777" w:rsidR="00C22083" w:rsidRDefault="00C22083" w:rsidP="00C22083">
      <w:pPr>
        <w:ind w:left="720"/>
      </w:pPr>
      <w:r>
        <w:t>2e) The guidance states: "</w:t>
      </w:r>
      <w:r w:rsidRPr="00C22083">
        <w:rPr>
          <w:i/>
        </w:rPr>
        <w:t>We encourage LAs to provide drivers of taxis and PHVs who are not exempt from the duties with clear guidance on their duties with respect to the carriage of passengers in wheelchairs, either as part of existing driver-facing guidance, or as supplementary communication.</w:t>
      </w:r>
      <w:r>
        <w:t>"</w:t>
      </w:r>
    </w:p>
    <w:p w14:paraId="417C704B" w14:textId="77777777" w:rsidR="00C22083" w:rsidRDefault="00C22083" w:rsidP="00C22083">
      <w:pPr>
        <w:ind w:left="720"/>
      </w:pPr>
      <w:r>
        <w:t>Have you provided non-exempt taxi/PHV drivers with such guidance?</w:t>
      </w:r>
    </w:p>
    <w:p w14:paraId="5F81A9F5" w14:textId="77777777" w:rsidR="00C22083" w:rsidRDefault="00C22083" w:rsidP="00C22083">
      <w:pPr>
        <w:ind w:left="720"/>
      </w:pPr>
      <w:r>
        <w:t>2f) The guidance states: "</w:t>
      </w:r>
      <w:r w:rsidRPr="00C22083">
        <w:rPr>
          <w:i/>
        </w:rPr>
        <w:t>We recommend that licensing authority rules for drivers are updated to make clear when a meter can and cannot be left running</w:t>
      </w:r>
      <w:r>
        <w:t>".</w:t>
      </w:r>
    </w:p>
    <w:p w14:paraId="0C61F83E" w14:textId="77777777" w:rsidR="00C22083" w:rsidRDefault="00C22083" w:rsidP="00C22083">
      <w:pPr>
        <w:ind w:left="720"/>
      </w:pPr>
      <w:r>
        <w:t>Have you updated such rules to make this clear?</w:t>
      </w:r>
    </w:p>
    <w:p w14:paraId="4E3447F8" w14:textId="77777777" w:rsidR="00C22083" w:rsidRDefault="00C22083" w:rsidP="00C22083">
      <w:pPr>
        <w:ind w:left="720"/>
      </w:pPr>
      <w:r>
        <w:t>2g) The guidance states: "</w:t>
      </w:r>
      <w:r w:rsidRPr="00C22083">
        <w:rPr>
          <w:i/>
        </w:rPr>
        <w:t>Section 172 of the Act enables vehicle owners to appeal against the decision of a LA to include their vehicles on the designated list. That appeal should be made to the Magistrate’s Court, or in Scotland the sheriff, and must be made within 28 days of the vehicle in question being included on the LA’s published list.</w:t>
      </w:r>
      <w:r>
        <w:t>"</w:t>
      </w:r>
    </w:p>
    <w:p w14:paraId="46B9CF4F" w14:textId="77777777" w:rsidR="00C22083" w:rsidRDefault="00C22083" w:rsidP="00C22083">
      <w:pPr>
        <w:ind w:left="720"/>
      </w:pPr>
      <w:r>
        <w:t>Please tell me how many such applications have been made to the Magistrates Court, and how many have been successful.</w:t>
      </w:r>
    </w:p>
    <w:p w14:paraId="422F8AFB" w14:textId="77777777" w:rsidR="00C22083" w:rsidRDefault="00C22083" w:rsidP="00C22083">
      <w:pPr>
        <w:ind w:left="720"/>
      </w:pPr>
      <w:r>
        <w:t>2h) How many drivers has the authority prosecuted for discriminatory behaviour contrary to S165 of the Act? How many such prosecutions were successful? What were the sentences?</w:t>
      </w:r>
    </w:p>
    <w:p w14:paraId="7ECC9DA9" w14:textId="77777777" w:rsidR="00C22083" w:rsidRDefault="00C22083" w:rsidP="00C22083">
      <w:pPr>
        <w:ind w:left="720"/>
      </w:pPr>
      <w:r>
        <w:t>2i) How many drivers licensed by yourselves have been prosecuted by other people or bodies for failure to comply with S165 of the Act? How many such prosecutions were successful? What were the sentences?</w:t>
      </w:r>
    </w:p>
    <w:p w14:paraId="69AD2E6E" w14:textId="77777777" w:rsidR="00C22083" w:rsidRDefault="00C22083" w:rsidP="00C22083">
      <w:pPr>
        <w:ind w:left="720"/>
      </w:pPr>
      <w:r>
        <w:lastRenderedPageBreak/>
        <w:t>2j) Where drivers have been prosecuted under S165 of the Act, thus affecting their standing as a "fit and proper person", what resultant disciplinary action have you taken in respect of their taxi or private hire vehicle drivers' licenses?</w:t>
      </w:r>
    </w:p>
    <w:p w14:paraId="79AD779C" w14:textId="77777777" w:rsidR="00C22083" w:rsidRDefault="00C22083" w:rsidP="00C22083">
      <w:r>
        <w:t>3) If you do not have a S167 list or lists now, please indicate if you still intend to produce such a list.</w:t>
      </w:r>
    </w:p>
    <w:p w14:paraId="3FCF9C44" w14:textId="77777777" w:rsidR="00C22083" w:rsidRDefault="00C22083" w:rsidP="00C22083">
      <w:r>
        <w:t>4) If you don't have a S167 list but do intend to produce one, please provide information in response to questions 4a) and 4b) below.</w:t>
      </w:r>
    </w:p>
    <w:p w14:paraId="1AAAA264" w14:textId="77777777" w:rsidR="00C22083" w:rsidRDefault="00C22083" w:rsidP="00B34B1C">
      <w:pPr>
        <w:ind w:left="720"/>
      </w:pPr>
      <w:r>
        <w:t>4a) Please indicate when you intend to have the list in place.</w:t>
      </w:r>
    </w:p>
    <w:p w14:paraId="1F2486F5" w14:textId="77777777" w:rsidR="00C22083" w:rsidRDefault="00C22083" w:rsidP="00B34B1C">
      <w:pPr>
        <w:ind w:left="720"/>
      </w:pPr>
      <w:r>
        <w:t>4b) Where you have already made relevant decisions, please indicate whether you intend to comply with the elements of the statutory guidance set out in 2b) to 2f) above.</w:t>
      </w:r>
    </w:p>
    <w:p w14:paraId="3B801DC5" w14:textId="77777777" w:rsidR="00C22083" w:rsidRDefault="00C22083" w:rsidP="00C22083">
      <w:r>
        <w:t>5) Irrespective of whether you have created a list or not or indeed whether you intend to create such a list, since 2010 you have been obliged to process applications under Section 166 of the Equality Act for driver medical exemptions from the duty to transport and not discriminate against wheelchair users. The Guidance states; "</w:t>
      </w:r>
      <w:r w:rsidRPr="00B34B1C">
        <w:rPr>
          <w:i/>
        </w:rPr>
        <w:t>the Act allows LAs to grant exemptions from the duties to individual drivers. These provisions are contained in section 166, and were commenced on 1st October 2010.</w:t>
      </w:r>
      <w:r>
        <w:t>"</w:t>
      </w:r>
    </w:p>
    <w:p w14:paraId="357AB9DB" w14:textId="77777777" w:rsidR="00C22083" w:rsidRDefault="00C22083" w:rsidP="00B34B1C">
      <w:pPr>
        <w:ind w:left="720"/>
      </w:pPr>
      <w:r>
        <w:t>5a) How many exemptions have you granted under S166 of the Equality Act 2010?</w:t>
      </w:r>
    </w:p>
    <w:p w14:paraId="614D577E" w14:textId="77777777" w:rsidR="00C22083" w:rsidRDefault="00C22083" w:rsidP="00B34B1C">
      <w:pPr>
        <w:ind w:left="720"/>
      </w:pPr>
      <w:r>
        <w:t>5b) The guidance states: "</w:t>
      </w:r>
      <w:r w:rsidRPr="00B34B1C">
        <w:rPr>
          <w:i/>
        </w:rPr>
        <w:t>We understand that some licensing authorities have already put in place procedures for accessing and exempting drivers, and as an absolute minimum, we think that the evidence provided should be in the form of a letter or report from a general practitioner.</w:t>
      </w:r>
      <w:r>
        <w:t>"</w:t>
      </w:r>
    </w:p>
    <w:p w14:paraId="6F226239" w14:textId="77777777" w:rsidR="00C22083" w:rsidRDefault="00C22083" w:rsidP="00B34B1C">
      <w:pPr>
        <w:ind w:left="720"/>
      </w:pPr>
      <w:r>
        <w:t>Do you accept or require a letter or report from a GP to process applications for driver exemption under S166?</w:t>
      </w:r>
    </w:p>
    <w:p w14:paraId="66819445" w14:textId="77777777" w:rsidR="00C22083" w:rsidRDefault="00C22083" w:rsidP="00B34B1C">
      <w:pPr>
        <w:ind w:left="720"/>
      </w:pPr>
      <w:r>
        <w:t>5c) The guidance states: "</w:t>
      </w:r>
      <w:r w:rsidRPr="00B34B1C">
        <w:rPr>
          <w:i/>
        </w:rPr>
        <w:t>The Government’s view is that decisions on exemptions will be fairer and more objective if medical assessments are undertaken by professionals who have been specifically trained and who are independent of the applicant. We would recommend that independent medical assessors are used where a long-term exemption is to be issued, and that LAs use assessors who hold appropriate professional qualifications and who are not open to bias because of a personal or commercial connection to the applicant</w:t>
      </w:r>
      <w:r>
        <w:t>"</w:t>
      </w:r>
    </w:p>
    <w:p w14:paraId="142203F8" w14:textId="77777777" w:rsidR="00C22083" w:rsidRDefault="00C22083" w:rsidP="00B34B1C">
      <w:pPr>
        <w:ind w:left="720"/>
      </w:pPr>
      <w:r>
        <w:t>Have you appointed independent medical assessors to determine applications for medical exemption under S166?</w:t>
      </w:r>
    </w:p>
    <w:p w14:paraId="0CAE430F" w14:textId="77777777" w:rsidR="00C22083" w:rsidRDefault="00C22083" w:rsidP="00B34B1C">
      <w:pPr>
        <w:ind w:left="720"/>
      </w:pPr>
      <w:r>
        <w:t>5d) Please provide a copy of your application form for driver exemption under S166.</w:t>
      </w:r>
    </w:p>
    <w:p w14:paraId="3EE57104" w14:textId="0A02EFAD" w:rsidR="00C22083" w:rsidRDefault="00C22083" w:rsidP="00B34B1C">
      <w:pPr>
        <w:ind w:left="720"/>
      </w:pPr>
      <w:r>
        <w:t>5e) The guidance states: "</w:t>
      </w:r>
      <w:r w:rsidRPr="00B34B1C">
        <w:rPr>
          <w:i/>
        </w:rPr>
        <w:t>Section 172 of the Act enables drivers to appeal against the decision of a LA n</w:t>
      </w:r>
      <w:r w:rsidR="00B34B1C" w:rsidRPr="00B34B1C">
        <w:rPr>
          <w:i/>
        </w:rPr>
        <w:t>o</w:t>
      </w:r>
      <w:r w:rsidRPr="00B34B1C">
        <w:rPr>
          <w:i/>
        </w:rPr>
        <w:t>t to issue an exemption certificate. That appeal should be made to the Magistrate’s Court, or a sheriff in Scotland, and must be made within 28 days beginning with the date of the refusal.</w:t>
      </w:r>
      <w:r>
        <w:t>"</w:t>
      </w:r>
    </w:p>
    <w:p w14:paraId="032D6BC4" w14:textId="77777777" w:rsidR="00C22083" w:rsidRDefault="00C22083" w:rsidP="00B34B1C">
      <w:pPr>
        <w:ind w:left="720"/>
      </w:pPr>
      <w:r>
        <w:lastRenderedPageBreak/>
        <w:t>How many appeals against refusal to issue S166 exemptions have been heard?</w:t>
      </w:r>
    </w:p>
    <w:p w14:paraId="13DD50B9" w14:textId="77777777" w:rsidR="00C22083" w:rsidRDefault="00C22083" w:rsidP="00B34B1C">
      <w:pPr>
        <w:ind w:left="720"/>
      </w:pPr>
      <w:r>
        <w:t>5f) How many appeals against refusal to issue S166 exemptions were successful?</w:t>
      </w:r>
    </w:p>
    <w:p w14:paraId="2943F4A2" w14:textId="77777777" w:rsidR="00C22083" w:rsidRDefault="00C22083" w:rsidP="00C22083">
      <w:r>
        <w:t>6) The guidance states: "</w:t>
      </w:r>
      <w:r w:rsidRPr="00B34B1C">
        <w:rPr>
          <w:i/>
        </w:rPr>
        <w:t>We would therefore recommend that LAs also publish a list of vehicles that are accessible to passengers in wheelchairs who are able to transfer from their wheelchair into a seat within the vehicle. It should be made clear however that this list of vehicles has not been published for the purposes of section 165 of the Act and drivers of those vehicles are therefore not subject to the legal duties to provide assistance.</w:t>
      </w:r>
      <w:r>
        <w:t>"</w:t>
      </w:r>
    </w:p>
    <w:p w14:paraId="2F0CB9C1" w14:textId="77777777" w:rsidR="00C22083" w:rsidRDefault="00C22083" w:rsidP="00C22083">
      <w:r>
        <w:t>Do you currently publish a list of vehicles that are accessible to passengers in wheelchairs who are able to transfer from their wheelchairs into a seat within the vehicle?</w:t>
      </w:r>
    </w:p>
    <w:p w14:paraId="163EDEDB" w14:textId="77777777" w:rsidR="00C22083" w:rsidRDefault="00C22083" w:rsidP="00C22083"/>
    <w:p w14:paraId="04F844D0" w14:textId="77777777" w:rsidR="00C22083" w:rsidRDefault="00C22083" w:rsidP="00C22083">
      <w:r>
        <w:t>Thank you</w:t>
      </w:r>
    </w:p>
    <w:p w14:paraId="43749D74" w14:textId="77777777" w:rsidR="00C22083" w:rsidRDefault="00C22083" w:rsidP="00C22083"/>
    <w:p w14:paraId="6BC94653" w14:textId="77777777" w:rsidR="00C22083" w:rsidRDefault="00C22083" w:rsidP="00C22083">
      <w:r>
        <w:t>Yours faithfully,</w:t>
      </w:r>
    </w:p>
    <w:p w14:paraId="239BE088" w14:textId="77777777" w:rsidR="00C22083" w:rsidRDefault="00C22083" w:rsidP="00C22083"/>
    <w:p w14:paraId="1B6F7C75" w14:textId="5ADD7D76" w:rsidR="00B34B1C" w:rsidRDefault="00C22083" w:rsidP="00C22083">
      <w:r>
        <w:t>Doug Paulley</w:t>
      </w:r>
    </w:p>
    <w:p w14:paraId="7E22FE5E" w14:textId="77777777" w:rsidR="00B34B1C" w:rsidRDefault="00B34B1C">
      <w:pPr>
        <w:spacing w:after="0" w:line="240" w:lineRule="auto"/>
        <w:jc w:val="left"/>
      </w:pPr>
      <w:r>
        <w:br w:type="page"/>
      </w:r>
    </w:p>
    <w:p w14:paraId="4B529C0C" w14:textId="64C181E6" w:rsidR="00B95A2C" w:rsidRDefault="00DB6009" w:rsidP="007865A5">
      <w:pPr>
        <w:pStyle w:val="Heading2"/>
        <w:numPr>
          <w:ilvl w:val="0"/>
          <w:numId w:val="0"/>
        </w:numPr>
        <w:ind w:left="720"/>
      </w:pPr>
      <w:bookmarkStart w:id="182" w:name="_Toc488088804"/>
      <w:bookmarkStart w:id="183" w:name="_Toc488093192"/>
      <w:bookmarkStart w:id="184" w:name="_Toc512556935"/>
      <w:r>
        <w:lastRenderedPageBreak/>
        <w:t xml:space="preserve">Appendix </w:t>
      </w:r>
      <w:r w:rsidR="009F141D">
        <w:t>2</w:t>
      </w:r>
      <w:r>
        <w:t>: Acknowledgements</w:t>
      </w:r>
      <w:bookmarkEnd w:id="182"/>
      <w:bookmarkEnd w:id="183"/>
      <w:bookmarkEnd w:id="184"/>
    </w:p>
    <w:p w14:paraId="3B3945FC" w14:textId="3249FD37" w:rsidR="00DB6009" w:rsidRDefault="00DB6009" w:rsidP="00DB6009">
      <w:r>
        <w:t>Dick Fowler provided the information and the prompt that equipped and caused me to undertake this research.</w:t>
      </w:r>
    </w:p>
    <w:p w14:paraId="5B83E94A" w14:textId="7F3960C4" w:rsidR="00176B2F" w:rsidRDefault="00176B2F" w:rsidP="00DB6009">
      <w:r>
        <w:t>Andrew Mickel from MDUK / Trailblazers did much to publicise my initial report. He has been invaluable to disabled people and to me.</w:t>
      </w:r>
    </w:p>
    <w:p w14:paraId="1F3EB548" w14:textId="77777777" w:rsidR="00DB6009" w:rsidRDefault="001D56FB" w:rsidP="00DB6009">
      <w:r>
        <w:t>WhatDoTheyKnow.com provided the means to send and track the 370+ Freedom of Information requests sent in this study. (Full disclosure: I am an administrator of WhatDoTheyKnow.)</w:t>
      </w:r>
    </w:p>
    <w:p w14:paraId="43BD51BD" w14:textId="77777777" w:rsidR="001D56FB" w:rsidRDefault="001D56FB" w:rsidP="00DB6009">
      <w:r>
        <w:t>Freedom of Information Officers and Taxi Licensing Officers up and down the country provided the information on which this study is based, on top of all their other work. I am grateful.</w:t>
      </w:r>
    </w:p>
    <w:p w14:paraId="50F59D8B" w14:textId="78FE9DE3" w:rsidR="00DB6009" w:rsidRDefault="00176B2F" w:rsidP="00DB6009">
      <w:r>
        <w:t>Disabled</w:t>
      </w:r>
      <w:r w:rsidR="00DB6009">
        <w:t xml:space="preserve"> people and their organisations have </w:t>
      </w:r>
      <w:r w:rsidR="0083423C">
        <w:t xml:space="preserve">provided information, </w:t>
      </w:r>
      <w:r w:rsidR="00DB6009">
        <w:t>campaigned in the area and spurred me on in this research.</w:t>
      </w:r>
    </w:p>
    <w:p w14:paraId="017E2621" w14:textId="25091541" w:rsidR="001D56FB" w:rsidRDefault="00DB6009" w:rsidP="003B1F6D">
      <w:r>
        <w:t>The Department for Transport, Transport Scotlan</w:t>
      </w:r>
      <w:r w:rsidR="001D56FB">
        <w:t xml:space="preserve">d and the Office for National Statistics </w:t>
      </w:r>
      <w:r w:rsidR="00D43B1E">
        <w:t>pu</w:t>
      </w:r>
      <w:r w:rsidR="002A4449">
        <w:t>bl</w:t>
      </w:r>
      <w:r w:rsidR="00D43B1E">
        <w:t xml:space="preserve">ished </w:t>
      </w:r>
      <w:r w:rsidR="00B05120">
        <w:t>data</w:t>
      </w:r>
      <w:r w:rsidR="001D56FB">
        <w:t xml:space="preserve"> </w:t>
      </w:r>
      <w:r w:rsidR="006A5E60">
        <w:t xml:space="preserve">used in </w:t>
      </w:r>
      <w:r w:rsidR="001D56FB">
        <w:t xml:space="preserve">this study. </w:t>
      </w:r>
    </w:p>
    <w:p w14:paraId="5F896DFF" w14:textId="199D8E14" w:rsidR="001D56FB" w:rsidRDefault="001D56FB" w:rsidP="00DB6009">
      <w:r>
        <w:t>I am grateful to them all.</w:t>
      </w:r>
    </w:p>
    <w:p w14:paraId="4C6052B5" w14:textId="77777777" w:rsidR="009A7BBB" w:rsidRDefault="009A7BBB" w:rsidP="00DB6009"/>
    <w:p w14:paraId="364DAE57" w14:textId="5EFB3A91" w:rsidR="001D56FB" w:rsidRDefault="001D56FB" w:rsidP="007865A5">
      <w:pPr>
        <w:pStyle w:val="Heading2"/>
        <w:numPr>
          <w:ilvl w:val="0"/>
          <w:numId w:val="0"/>
        </w:numPr>
        <w:ind w:left="720"/>
      </w:pPr>
      <w:bookmarkStart w:id="185" w:name="_Toc488088805"/>
      <w:bookmarkStart w:id="186" w:name="_Toc488093193"/>
      <w:bookmarkStart w:id="187" w:name="_Toc512556936"/>
      <w:r>
        <w:t xml:space="preserve">Appendix </w:t>
      </w:r>
      <w:r w:rsidR="00CD58BC">
        <w:t>3</w:t>
      </w:r>
      <w:r>
        <w:t>: Licensing</w:t>
      </w:r>
      <w:bookmarkEnd w:id="185"/>
      <w:bookmarkEnd w:id="186"/>
      <w:bookmarkEnd w:id="187"/>
    </w:p>
    <w:p w14:paraId="632F8781" w14:textId="7D39DD14" w:rsidR="00D1119D" w:rsidRDefault="00D1119D" w:rsidP="00D1119D">
      <w:pPr>
        <w:jc w:val="left"/>
      </w:pPr>
      <w:r w:rsidRPr="001D56FB">
        <w:rPr>
          <w:noProof/>
        </w:rPr>
        <w:drawing>
          <wp:anchor distT="0" distB="0" distL="114300" distR="114300" simplePos="0" relativeHeight="251673088" behindDoc="0" locked="0" layoutInCell="1" allowOverlap="1" wp14:anchorId="37643AA6" wp14:editId="5FA8D0AA">
            <wp:simplePos x="0" y="0"/>
            <wp:positionH relativeFrom="column">
              <wp:posOffset>4191000</wp:posOffset>
            </wp:positionH>
            <wp:positionV relativeFrom="paragraph">
              <wp:posOffset>80645</wp:posOffset>
            </wp:positionV>
            <wp:extent cx="1628775" cy="569595"/>
            <wp:effectExtent l="0" t="0" r="9525" b="1905"/>
            <wp:wrapSquare wrapText="bothSides"/>
            <wp:docPr id="49" name="Graphic 49" descr="Reads: CC BY SA" title="Creative Commons Attribution-ShareAlike 4.0 International Licens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 uri="{96DAC541-7B7A-43D3-8B79-37D633B846F1}">
                          <asvg:svgBlip xmlns:asvg="http://schemas.microsoft.com/office/drawing/2016/SVG/main" r:embed="rId46"/>
                        </a:ext>
                      </a:extLst>
                    </a:blip>
                    <a:stretch>
                      <a:fillRect/>
                    </a:stretch>
                  </pic:blipFill>
                  <pic:spPr>
                    <a:xfrm>
                      <a:off x="0" y="0"/>
                      <a:ext cx="1628775" cy="569595"/>
                    </a:xfrm>
                    <a:prstGeom prst="rect">
                      <a:avLst/>
                    </a:prstGeom>
                  </pic:spPr>
                </pic:pic>
              </a:graphicData>
            </a:graphic>
            <wp14:sizeRelH relativeFrom="page">
              <wp14:pctWidth>0</wp14:pctWidth>
            </wp14:sizeRelH>
            <wp14:sizeRelV relativeFrom="page">
              <wp14:pctHeight>0</wp14:pctHeight>
            </wp14:sizeRelV>
          </wp:anchor>
        </w:drawing>
      </w:r>
      <w:r>
        <w:t>Except for the public</w:t>
      </w:r>
      <w:r w:rsidR="000573F2">
        <w:t>-</w:t>
      </w:r>
      <w:r>
        <w:t>sector information as below, t</w:t>
      </w:r>
      <w:r w:rsidRPr="00135FF0">
        <w:t>his work</w:t>
      </w:r>
      <w:r>
        <w:t xml:space="preserve"> “</w:t>
      </w:r>
      <w:r w:rsidR="00737028">
        <w:t>April</w:t>
      </w:r>
      <w:r w:rsidR="000573F2">
        <w:t xml:space="preserve"> 2018 update – </w:t>
      </w:r>
      <w:r w:rsidRPr="003954F6">
        <w:t>Licensing authorities’ approach to the Equality Act 2010 provisions on taxi wheelchair discrimination</w:t>
      </w:r>
      <w:r>
        <w:t xml:space="preserve">” by Doug Paulley </w:t>
      </w:r>
      <w:r w:rsidRPr="00135FF0">
        <w:t xml:space="preserve">is licensed under the Creative Commons Attribution-ShareAlike 4.0 International License. To view a copy of this license, visit </w:t>
      </w:r>
      <w:r>
        <w:t>http://creativecommons.org/licenses/by-sa/4.0/</w:t>
      </w:r>
      <w:r w:rsidRPr="00135FF0">
        <w:t>.</w:t>
      </w:r>
    </w:p>
    <w:p w14:paraId="5CB52BEC" w14:textId="1E3B48AF" w:rsidR="003954F6" w:rsidRDefault="00135FF0" w:rsidP="00D1119D">
      <w:r w:rsidRPr="00135FF0">
        <w:t xml:space="preserve">Contains public sector information licensed under the Open Government </w:t>
      </w:r>
      <w:r w:rsidR="007C0EB1" w:rsidRPr="00135FF0">
        <w:t>License</w:t>
      </w:r>
      <w:r w:rsidRPr="00135FF0">
        <w:t xml:space="preserve"> v3.0. </w:t>
      </w:r>
      <w:r w:rsidR="00C00560" w:rsidRPr="002A0182">
        <w:t>http://www.nationalarchives.gov.uk/doc/open-government-licence/version/3/</w:t>
      </w:r>
    </w:p>
    <w:p w14:paraId="0FBF537E" w14:textId="4922225B" w:rsidR="00C00560" w:rsidRDefault="00C00560">
      <w:pPr>
        <w:spacing w:after="0" w:line="240" w:lineRule="auto"/>
        <w:jc w:val="left"/>
      </w:pPr>
      <w:r>
        <w:br w:type="page"/>
      </w:r>
    </w:p>
    <w:p w14:paraId="3D8CD4A6" w14:textId="6BD4C675" w:rsidR="007865A5" w:rsidRDefault="00C00560" w:rsidP="007865A5">
      <w:pPr>
        <w:pStyle w:val="Heading2"/>
        <w:numPr>
          <w:ilvl w:val="0"/>
          <w:numId w:val="0"/>
        </w:numPr>
        <w:ind w:left="720"/>
      </w:pPr>
      <w:bookmarkStart w:id="188" w:name="_Toc488088806"/>
      <w:bookmarkStart w:id="189" w:name="_Toc488093194"/>
      <w:bookmarkStart w:id="190" w:name="_Toc512556937"/>
      <w:r>
        <w:lastRenderedPageBreak/>
        <w:t xml:space="preserve">Appendix </w:t>
      </w:r>
      <w:r w:rsidR="00CD58BC">
        <w:t>4</w:t>
      </w:r>
      <w:r>
        <w:t>: List</w:t>
      </w:r>
      <w:r w:rsidR="007865A5">
        <w:t>s</w:t>
      </w:r>
      <w:r>
        <w:t xml:space="preserve"> of </w:t>
      </w:r>
      <w:r w:rsidR="007865A5">
        <w:t xml:space="preserve">Tables, </w:t>
      </w:r>
      <w:r>
        <w:t>Figures</w:t>
      </w:r>
      <w:r w:rsidR="007865A5">
        <w:t xml:space="preserve"> and Maps</w:t>
      </w:r>
      <w:bookmarkEnd w:id="188"/>
      <w:bookmarkEnd w:id="189"/>
      <w:bookmarkEnd w:id="190"/>
    </w:p>
    <w:p w14:paraId="1E99081F" w14:textId="1FCDAF05" w:rsidR="007865A5" w:rsidRDefault="007865A5" w:rsidP="007865A5">
      <w:pPr>
        <w:pStyle w:val="Heading3"/>
      </w:pPr>
      <w:bookmarkStart w:id="191" w:name="_Toc488088807"/>
      <w:bookmarkStart w:id="192" w:name="_Toc488093195"/>
      <w:bookmarkStart w:id="193" w:name="_Toc512556938"/>
      <w:r>
        <w:t>Tables</w:t>
      </w:r>
      <w:bookmarkEnd w:id="191"/>
      <w:bookmarkEnd w:id="192"/>
      <w:bookmarkEnd w:id="193"/>
    </w:p>
    <w:p w14:paraId="5071D7F3" w14:textId="1CA1827C" w:rsidR="00B64349" w:rsidRDefault="007865A5">
      <w:pPr>
        <w:pStyle w:val="TableofFigures"/>
        <w:tabs>
          <w:tab w:val="right" w:leader="dot" w:pos="9017"/>
        </w:tabs>
        <w:rPr>
          <w:rFonts w:eastAsiaTheme="minorEastAsia" w:cstheme="minorBidi"/>
          <w:b w:val="0"/>
          <w:bCs w:val="0"/>
          <w:noProof/>
          <w:sz w:val="22"/>
          <w:szCs w:val="22"/>
          <w:lang w:val="en-GB" w:eastAsia="en-GB"/>
        </w:rPr>
      </w:pPr>
      <w:r>
        <w:fldChar w:fldCharType="begin"/>
      </w:r>
      <w:r>
        <w:instrText xml:space="preserve"> TOC \h \z \c "Table" </w:instrText>
      </w:r>
      <w:r>
        <w:fldChar w:fldCharType="separate"/>
      </w:r>
      <w:hyperlink w:anchor="_Toc512556858" w:history="1">
        <w:r w:rsidR="00B64349" w:rsidRPr="00C83784">
          <w:rPr>
            <w:rStyle w:val="Hyperlink"/>
            <w:noProof/>
          </w:rPr>
          <w:t>Table 1 – S167 grade</w:t>
        </w:r>
        <w:r w:rsidR="00B64349">
          <w:rPr>
            <w:noProof/>
            <w:webHidden/>
          </w:rPr>
          <w:tab/>
        </w:r>
        <w:r w:rsidR="00B64349">
          <w:rPr>
            <w:noProof/>
            <w:webHidden/>
          </w:rPr>
          <w:fldChar w:fldCharType="begin"/>
        </w:r>
        <w:r w:rsidR="00B64349">
          <w:rPr>
            <w:noProof/>
            <w:webHidden/>
          </w:rPr>
          <w:instrText xml:space="preserve"> PAGEREF _Toc512556858 \h </w:instrText>
        </w:r>
        <w:r w:rsidR="00B64349">
          <w:rPr>
            <w:noProof/>
            <w:webHidden/>
          </w:rPr>
        </w:r>
        <w:r w:rsidR="00B64349">
          <w:rPr>
            <w:noProof/>
            <w:webHidden/>
          </w:rPr>
          <w:fldChar w:fldCharType="separate"/>
        </w:r>
        <w:r w:rsidR="00B64349">
          <w:rPr>
            <w:noProof/>
            <w:webHidden/>
          </w:rPr>
          <w:t>7</w:t>
        </w:r>
        <w:r w:rsidR="00B64349">
          <w:rPr>
            <w:noProof/>
            <w:webHidden/>
          </w:rPr>
          <w:fldChar w:fldCharType="end"/>
        </w:r>
      </w:hyperlink>
    </w:p>
    <w:p w14:paraId="3A765F1E" w14:textId="3E8E947C" w:rsidR="00B64349" w:rsidRDefault="00B64349">
      <w:pPr>
        <w:pStyle w:val="TableofFigures"/>
        <w:tabs>
          <w:tab w:val="right" w:leader="dot" w:pos="9017"/>
        </w:tabs>
        <w:rPr>
          <w:rFonts w:eastAsiaTheme="minorEastAsia" w:cstheme="minorBidi"/>
          <w:b w:val="0"/>
          <w:bCs w:val="0"/>
          <w:noProof/>
          <w:sz w:val="22"/>
          <w:szCs w:val="22"/>
          <w:lang w:val="en-GB" w:eastAsia="en-GB"/>
        </w:rPr>
      </w:pPr>
      <w:hyperlink w:anchor="_Toc512556859" w:history="1">
        <w:r w:rsidRPr="00C83784">
          <w:rPr>
            <w:rStyle w:val="Hyperlink"/>
            <w:noProof/>
          </w:rPr>
          <w:t>Table 2 – S167 intent</w:t>
        </w:r>
        <w:r>
          <w:rPr>
            <w:noProof/>
            <w:webHidden/>
          </w:rPr>
          <w:tab/>
        </w:r>
        <w:r>
          <w:rPr>
            <w:noProof/>
            <w:webHidden/>
          </w:rPr>
          <w:fldChar w:fldCharType="begin"/>
        </w:r>
        <w:r>
          <w:rPr>
            <w:noProof/>
            <w:webHidden/>
          </w:rPr>
          <w:instrText xml:space="preserve"> PAGEREF _Toc512556859 \h </w:instrText>
        </w:r>
        <w:r>
          <w:rPr>
            <w:noProof/>
            <w:webHidden/>
          </w:rPr>
        </w:r>
        <w:r>
          <w:rPr>
            <w:noProof/>
            <w:webHidden/>
          </w:rPr>
          <w:fldChar w:fldCharType="separate"/>
        </w:r>
        <w:r>
          <w:rPr>
            <w:noProof/>
            <w:webHidden/>
          </w:rPr>
          <w:t>7</w:t>
        </w:r>
        <w:r>
          <w:rPr>
            <w:noProof/>
            <w:webHidden/>
          </w:rPr>
          <w:fldChar w:fldCharType="end"/>
        </w:r>
      </w:hyperlink>
    </w:p>
    <w:p w14:paraId="6A2BD391" w14:textId="0727F2BA" w:rsidR="00B64349" w:rsidRDefault="00B64349">
      <w:pPr>
        <w:pStyle w:val="TableofFigures"/>
        <w:tabs>
          <w:tab w:val="right" w:leader="dot" w:pos="9017"/>
        </w:tabs>
        <w:rPr>
          <w:rFonts w:eastAsiaTheme="minorEastAsia" w:cstheme="minorBidi"/>
          <w:b w:val="0"/>
          <w:bCs w:val="0"/>
          <w:noProof/>
          <w:sz w:val="22"/>
          <w:szCs w:val="22"/>
          <w:lang w:val="en-GB" w:eastAsia="en-GB"/>
        </w:rPr>
      </w:pPr>
      <w:hyperlink w:anchor="_Toc512556860" w:history="1">
        <w:r w:rsidRPr="00C83784">
          <w:rPr>
            <w:rStyle w:val="Hyperlink"/>
            <w:noProof/>
          </w:rPr>
          <w:t>Table 3 – GB S167 Intent</w:t>
        </w:r>
        <w:r>
          <w:rPr>
            <w:noProof/>
            <w:webHidden/>
          </w:rPr>
          <w:tab/>
        </w:r>
        <w:r>
          <w:rPr>
            <w:noProof/>
            <w:webHidden/>
          </w:rPr>
          <w:fldChar w:fldCharType="begin"/>
        </w:r>
        <w:r>
          <w:rPr>
            <w:noProof/>
            <w:webHidden/>
          </w:rPr>
          <w:instrText xml:space="preserve"> PAGEREF _Toc512556860 \h </w:instrText>
        </w:r>
        <w:r>
          <w:rPr>
            <w:noProof/>
            <w:webHidden/>
          </w:rPr>
        </w:r>
        <w:r>
          <w:rPr>
            <w:noProof/>
            <w:webHidden/>
          </w:rPr>
          <w:fldChar w:fldCharType="separate"/>
        </w:r>
        <w:r>
          <w:rPr>
            <w:noProof/>
            <w:webHidden/>
          </w:rPr>
          <w:t>10</w:t>
        </w:r>
        <w:r>
          <w:rPr>
            <w:noProof/>
            <w:webHidden/>
          </w:rPr>
          <w:fldChar w:fldCharType="end"/>
        </w:r>
      </w:hyperlink>
    </w:p>
    <w:p w14:paraId="2E60616E" w14:textId="37749EF3" w:rsidR="00B64349" w:rsidRDefault="00B64349">
      <w:pPr>
        <w:pStyle w:val="TableofFigures"/>
        <w:tabs>
          <w:tab w:val="right" w:leader="dot" w:pos="9017"/>
        </w:tabs>
        <w:rPr>
          <w:rFonts w:eastAsiaTheme="minorEastAsia" w:cstheme="minorBidi"/>
          <w:b w:val="0"/>
          <w:bCs w:val="0"/>
          <w:noProof/>
          <w:sz w:val="22"/>
          <w:szCs w:val="22"/>
          <w:lang w:val="en-GB" w:eastAsia="en-GB"/>
        </w:rPr>
      </w:pPr>
      <w:hyperlink w:anchor="_Toc512556861" w:history="1">
        <w:r w:rsidRPr="00C83784">
          <w:rPr>
            <w:rStyle w:val="Hyperlink"/>
            <w:noProof/>
          </w:rPr>
          <w:t>Table 4 – Constituent countries S167 intent</w:t>
        </w:r>
        <w:r>
          <w:rPr>
            <w:noProof/>
            <w:webHidden/>
          </w:rPr>
          <w:tab/>
        </w:r>
        <w:r>
          <w:rPr>
            <w:noProof/>
            <w:webHidden/>
          </w:rPr>
          <w:fldChar w:fldCharType="begin"/>
        </w:r>
        <w:r>
          <w:rPr>
            <w:noProof/>
            <w:webHidden/>
          </w:rPr>
          <w:instrText xml:space="preserve"> PAGEREF _Toc512556861 \h </w:instrText>
        </w:r>
        <w:r>
          <w:rPr>
            <w:noProof/>
            <w:webHidden/>
          </w:rPr>
        </w:r>
        <w:r>
          <w:rPr>
            <w:noProof/>
            <w:webHidden/>
          </w:rPr>
          <w:fldChar w:fldCharType="separate"/>
        </w:r>
        <w:r>
          <w:rPr>
            <w:noProof/>
            <w:webHidden/>
          </w:rPr>
          <w:t>10</w:t>
        </w:r>
        <w:r>
          <w:rPr>
            <w:noProof/>
            <w:webHidden/>
          </w:rPr>
          <w:fldChar w:fldCharType="end"/>
        </w:r>
      </w:hyperlink>
    </w:p>
    <w:p w14:paraId="42868730" w14:textId="15A85B60" w:rsidR="00B64349" w:rsidRDefault="00B64349">
      <w:pPr>
        <w:pStyle w:val="TableofFigures"/>
        <w:tabs>
          <w:tab w:val="right" w:leader="dot" w:pos="9017"/>
        </w:tabs>
        <w:rPr>
          <w:rFonts w:eastAsiaTheme="minorEastAsia" w:cstheme="minorBidi"/>
          <w:b w:val="0"/>
          <w:bCs w:val="0"/>
          <w:noProof/>
          <w:sz w:val="22"/>
          <w:szCs w:val="22"/>
          <w:lang w:val="en-GB" w:eastAsia="en-GB"/>
        </w:rPr>
      </w:pPr>
      <w:hyperlink w:anchor="_Toc512556862" w:history="1">
        <w:r w:rsidRPr="00C83784">
          <w:rPr>
            <w:rStyle w:val="Hyperlink"/>
            <w:noProof/>
          </w:rPr>
          <w:t>Table 5 – GB S167 grades</w:t>
        </w:r>
        <w:r>
          <w:rPr>
            <w:noProof/>
            <w:webHidden/>
          </w:rPr>
          <w:tab/>
        </w:r>
        <w:r>
          <w:rPr>
            <w:noProof/>
            <w:webHidden/>
          </w:rPr>
          <w:fldChar w:fldCharType="begin"/>
        </w:r>
        <w:r>
          <w:rPr>
            <w:noProof/>
            <w:webHidden/>
          </w:rPr>
          <w:instrText xml:space="preserve"> PAGEREF _Toc512556862 \h </w:instrText>
        </w:r>
        <w:r>
          <w:rPr>
            <w:noProof/>
            <w:webHidden/>
          </w:rPr>
        </w:r>
        <w:r>
          <w:rPr>
            <w:noProof/>
            <w:webHidden/>
          </w:rPr>
          <w:fldChar w:fldCharType="separate"/>
        </w:r>
        <w:r>
          <w:rPr>
            <w:noProof/>
            <w:webHidden/>
          </w:rPr>
          <w:t>13</w:t>
        </w:r>
        <w:r>
          <w:rPr>
            <w:noProof/>
            <w:webHidden/>
          </w:rPr>
          <w:fldChar w:fldCharType="end"/>
        </w:r>
      </w:hyperlink>
    </w:p>
    <w:p w14:paraId="3DFD0831" w14:textId="5FFA4CDC" w:rsidR="00B64349" w:rsidRDefault="00B64349">
      <w:pPr>
        <w:pStyle w:val="TableofFigures"/>
        <w:tabs>
          <w:tab w:val="right" w:leader="dot" w:pos="9017"/>
        </w:tabs>
        <w:rPr>
          <w:rFonts w:eastAsiaTheme="minorEastAsia" w:cstheme="minorBidi"/>
          <w:b w:val="0"/>
          <w:bCs w:val="0"/>
          <w:noProof/>
          <w:sz w:val="22"/>
          <w:szCs w:val="22"/>
          <w:lang w:val="en-GB" w:eastAsia="en-GB"/>
        </w:rPr>
      </w:pPr>
      <w:hyperlink w:anchor="_Toc512556863" w:history="1">
        <w:r w:rsidRPr="00C83784">
          <w:rPr>
            <w:rStyle w:val="Hyperlink"/>
            <w:noProof/>
          </w:rPr>
          <w:t>Table 6 – Constituent countries’ S167 grades</w:t>
        </w:r>
        <w:r>
          <w:rPr>
            <w:noProof/>
            <w:webHidden/>
          </w:rPr>
          <w:tab/>
        </w:r>
        <w:r>
          <w:rPr>
            <w:noProof/>
            <w:webHidden/>
          </w:rPr>
          <w:fldChar w:fldCharType="begin"/>
        </w:r>
        <w:r>
          <w:rPr>
            <w:noProof/>
            <w:webHidden/>
          </w:rPr>
          <w:instrText xml:space="preserve"> PAGEREF _Toc512556863 \h </w:instrText>
        </w:r>
        <w:r>
          <w:rPr>
            <w:noProof/>
            <w:webHidden/>
          </w:rPr>
        </w:r>
        <w:r>
          <w:rPr>
            <w:noProof/>
            <w:webHidden/>
          </w:rPr>
          <w:fldChar w:fldCharType="separate"/>
        </w:r>
        <w:r>
          <w:rPr>
            <w:noProof/>
            <w:webHidden/>
          </w:rPr>
          <w:t>13</w:t>
        </w:r>
        <w:r>
          <w:rPr>
            <w:noProof/>
            <w:webHidden/>
          </w:rPr>
          <w:fldChar w:fldCharType="end"/>
        </w:r>
      </w:hyperlink>
    </w:p>
    <w:p w14:paraId="2F300BC8" w14:textId="4F462313" w:rsidR="00B64349" w:rsidRDefault="00B64349">
      <w:pPr>
        <w:pStyle w:val="TableofFigures"/>
        <w:tabs>
          <w:tab w:val="right" w:leader="dot" w:pos="9017"/>
        </w:tabs>
        <w:rPr>
          <w:rFonts w:eastAsiaTheme="minorEastAsia" w:cstheme="minorBidi"/>
          <w:b w:val="0"/>
          <w:bCs w:val="0"/>
          <w:noProof/>
          <w:sz w:val="22"/>
          <w:szCs w:val="22"/>
          <w:lang w:val="en-GB" w:eastAsia="en-GB"/>
        </w:rPr>
      </w:pPr>
      <w:hyperlink w:anchor="_Toc512556864" w:history="1">
        <w:r w:rsidRPr="00C83784">
          <w:rPr>
            <w:rStyle w:val="Hyperlink"/>
            <w:noProof/>
          </w:rPr>
          <w:t>Table 7 – GB Changes in S167 Intent and Grades</w:t>
        </w:r>
        <w:r>
          <w:rPr>
            <w:noProof/>
            <w:webHidden/>
          </w:rPr>
          <w:tab/>
        </w:r>
        <w:r>
          <w:rPr>
            <w:noProof/>
            <w:webHidden/>
          </w:rPr>
          <w:fldChar w:fldCharType="begin"/>
        </w:r>
        <w:r>
          <w:rPr>
            <w:noProof/>
            <w:webHidden/>
          </w:rPr>
          <w:instrText xml:space="preserve"> PAGEREF _Toc512556864 \h </w:instrText>
        </w:r>
        <w:r>
          <w:rPr>
            <w:noProof/>
            <w:webHidden/>
          </w:rPr>
        </w:r>
        <w:r>
          <w:rPr>
            <w:noProof/>
            <w:webHidden/>
          </w:rPr>
          <w:fldChar w:fldCharType="separate"/>
        </w:r>
        <w:r>
          <w:rPr>
            <w:noProof/>
            <w:webHidden/>
          </w:rPr>
          <w:t>14</w:t>
        </w:r>
        <w:r>
          <w:rPr>
            <w:noProof/>
            <w:webHidden/>
          </w:rPr>
          <w:fldChar w:fldCharType="end"/>
        </w:r>
      </w:hyperlink>
    </w:p>
    <w:p w14:paraId="6140B22C" w14:textId="1BCD1095" w:rsidR="00B64349" w:rsidRDefault="00B64349">
      <w:pPr>
        <w:pStyle w:val="TableofFigures"/>
        <w:tabs>
          <w:tab w:val="right" w:leader="dot" w:pos="9017"/>
        </w:tabs>
        <w:rPr>
          <w:rFonts w:eastAsiaTheme="minorEastAsia" w:cstheme="minorBidi"/>
          <w:b w:val="0"/>
          <w:bCs w:val="0"/>
          <w:noProof/>
          <w:sz w:val="22"/>
          <w:szCs w:val="22"/>
          <w:lang w:val="en-GB" w:eastAsia="en-GB"/>
        </w:rPr>
      </w:pPr>
      <w:hyperlink w:anchor="_Toc512556865" w:history="1">
        <w:r w:rsidRPr="00C83784">
          <w:rPr>
            <w:rStyle w:val="Hyperlink"/>
            <w:noProof/>
          </w:rPr>
          <w:t>Table 8 – Constituent countries change in S167 intent and grade</w:t>
        </w:r>
        <w:r>
          <w:rPr>
            <w:noProof/>
            <w:webHidden/>
          </w:rPr>
          <w:tab/>
        </w:r>
        <w:r>
          <w:rPr>
            <w:noProof/>
            <w:webHidden/>
          </w:rPr>
          <w:fldChar w:fldCharType="begin"/>
        </w:r>
        <w:r>
          <w:rPr>
            <w:noProof/>
            <w:webHidden/>
          </w:rPr>
          <w:instrText xml:space="preserve"> PAGEREF _Toc512556865 \h </w:instrText>
        </w:r>
        <w:r>
          <w:rPr>
            <w:noProof/>
            <w:webHidden/>
          </w:rPr>
        </w:r>
        <w:r>
          <w:rPr>
            <w:noProof/>
            <w:webHidden/>
          </w:rPr>
          <w:fldChar w:fldCharType="separate"/>
        </w:r>
        <w:r>
          <w:rPr>
            <w:noProof/>
            <w:webHidden/>
          </w:rPr>
          <w:t>16</w:t>
        </w:r>
        <w:r>
          <w:rPr>
            <w:noProof/>
            <w:webHidden/>
          </w:rPr>
          <w:fldChar w:fldCharType="end"/>
        </w:r>
      </w:hyperlink>
    </w:p>
    <w:p w14:paraId="0A003CDF" w14:textId="76C9A187" w:rsidR="00B64349" w:rsidRDefault="00B64349">
      <w:pPr>
        <w:pStyle w:val="TableofFigures"/>
        <w:tabs>
          <w:tab w:val="right" w:leader="dot" w:pos="9017"/>
        </w:tabs>
        <w:rPr>
          <w:rFonts w:eastAsiaTheme="minorEastAsia" w:cstheme="minorBidi"/>
          <w:b w:val="0"/>
          <w:bCs w:val="0"/>
          <w:noProof/>
          <w:sz w:val="22"/>
          <w:szCs w:val="22"/>
          <w:lang w:val="en-GB" w:eastAsia="en-GB"/>
        </w:rPr>
      </w:pPr>
      <w:hyperlink w:anchor="_Toc512556866" w:history="1">
        <w:r w:rsidRPr="00C83784">
          <w:rPr>
            <w:rStyle w:val="Hyperlink"/>
            <w:noProof/>
          </w:rPr>
          <w:t>Table 9 – S167 intent and grade of authorities with 100% accessible hackney carriage fleets</w:t>
        </w:r>
        <w:r>
          <w:rPr>
            <w:noProof/>
            <w:webHidden/>
          </w:rPr>
          <w:tab/>
        </w:r>
        <w:r>
          <w:rPr>
            <w:noProof/>
            <w:webHidden/>
          </w:rPr>
          <w:fldChar w:fldCharType="begin"/>
        </w:r>
        <w:r>
          <w:rPr>
            <w:noProof/>
            <w:webHidden/>
          </w:rPr>
          <w:instrText xml:space="preserve"> PAGEREF _Toc512556866 \h </w:instrText>
        </w:r>
        <w:r>
          <w:rPr>
            <w:noProof/>
            <w:webHidden/>
          </w:rPr>
        </w:r>
        <w:r>
          <w:rPr>
            <w:noProof/>
            <w:webHidden/>
          </w:rPr>
          <w:fldChar w:fldCharType="separate"/>
        </w:r>
        <w:r>
          <w:rPr>
            <w:noProof/>
            <w:webHidden/>
          </w:rPr>
          <w:t>16</w:t>
        </w:r>
        <w:r>
          <w:rPr>
            <w:noProof/>
            <w:webHidden/>
          </w:rPr>
          <w:fldChar w:fldCharType="end"/>
        </w:r>
      </w:hyperlink>
    </w:p>
    <w:p w14:paraId="462BE64B" w14:textId="4E95F9A5" w:rsidR="00B64349" w:rsidRDefault="00B64349">
      <w:pPr>
        <w:pStyle w:val="TableofFigures"/>
        <w:tabs>
          <w:tab w:val="right" w:leader="dot" w:pos="9017"/>
        </w:tabs>
        <w:rPr>
          <w:rFonts w:eastAsiaTheme="minorEastAsia" w:cstheme="minorBidi"/>
          <w:b w:val="0"/>
          <w:bCs w:val="0"/>
          <w:noProof/>
          <w:sz w:val="22"/>
          <w:szCs w:val="22"/>
          <w:lang w:val="en-GB" w:eastAsia="en-GB"/>
        </w:rPr>
      </w:pPr>
      <w:hyperlink w:anchor="_Toc512556867" w:history="1">
        <w:r w:rsidRPr="00C83784">
          <w:rPr>
            <w:rStyle w:val="Hyperlink"/>
            <w:noProof/>
          </w:rPr>
          <w:t>Table 10 – Composition of Authorities’ S167 lists</w:t>
        </w:r>
        <w:r>
          <w:rPr>
            <w:noProof/>
            <w:webHidden/>
          </w:rPr>
          <w:tab/>
        </w:r>
        <w:r>
          <w:rPr>
            <w:noProof/>
            <w:webHidden/>
          </w:rPr>
          <w:fldChar w:fldCharType="begin"/>
        </w:r>
        <w:r>
          <w:rPr>
            <w:noProof/>
            <w:webHidden/>
          </w:rPr>
          <w:instrText xml:space="preserve"> PAGEREF _Toc512556867 \h </w:instrText>
        </w:r>
        <w:r>
          <w:rPr>
            <w:noProof/>
            <w:webHidden/>
          </w:rPr>
        </w:r>
        <w:r>
          <w:rPr>
            <w:noProof/>
            <w:webHidden/>
          </w:rPr>
          <w:fldChar w:fldCharType="separate"/>
        </w:r>
        <w:r>
          <w:rPr>
            <w:noProof/>
            <w:webHidden/>
          </w:rPr>
          <w:t>18</w:t>
        </w:r>
        <w:r>
          <w:rPr>
            <w:noProof/>
            <w:webHidden/>
          </w:rPr>
          <w:fldChar w:fldCharType="end"/>
        </w:r>
      </w:hyperlink>
    </w:p>
    <w:p w14:paraId="1D2E9654" w14:textId="10C79C7C" w:rsidR="00B64349" w:rsidRDefault="00B64349">
      <w:pPr>
        <w:pStyle w:val="TableofFigures"/>
        <w:tabs>
          <w:tab w:val="right" w:leader="dot" w:pos="9017"/>
        </w:tabs>
        <w:rPr>
          <w:rFonts w:eastAsiaTheme="minorEastAsia" w:cstheme="minorBidi"/>
          <w:b w:val="0"/>
          <w:bCs w:val="0"/>
          <w:noProof/>
          <w:sz w:val="22"/>
          <w:szCs w:val="22"/>
          <w:lang w:val="en-GB" w:eastAsia="en-GB"/>
        </w:rPr>
      </w:pPr>
      <w:hyperlink w:anchor="_Toc512556868" w:history="1">
        <w:r w:rsidRPr="00C83784">
          <w:rPr>
            <w:rStyle w:val="Hyperlink"/>
            <w:noProof/>
          </w:rPr>
          <w:t>Table 11 – Local Authority driver guidance</w:t>
        </w:r>
        <w:r>
          <w:rPr>
            <w:noProof/>
            <w:webHidden/>
          </w:rPr>
          <w:tab/>
        </w:r>
        <w:r>
          <w:rPr>
            <w:noProof/>
            <w:webHidden/>
          </w:rPr>
          <w:fldChar w:fldCharType="begin"/>
        </w:r>
        <w:r>
          <w:rPr>
            <w:noProof/>
            <w:webHidden/>
          </w:rPr>
          <w:instrText xml:space="preserve"> PAGEREF _Toc512556868 \h </w:instrText>
        </w:r>
        <w:r>
          <w:rPr>
            <w:noProof/>
            <w:webHidden/>
          </w:rPr>
        </w:r>
        <w:r>
          <w:rPr>
            <w:noProof/>
            <w:webHidden/>
          </w:rPr>
          <w:fldChar w:fldCharType="separate"/>
        </w:r>
        <w:r>
          <w:rPr>
            <w:noProof/>
            <w:webHidden/>
          </w:rPr>
          <w:t>19</w:t>
        </w:r>
        <w:r>
          <w:rPr>
            <w:noProof/>
            <w:webHidden/>
          </w:rPr>
          <w:fldChar w:fldCharType="end"/>
        </w:r>
      </w:hyperlink>
    </w:p>
    <w:p w14:paraId="1F49C825" w14:textId="0A3DA9BD" w:rsidR="00B64349" w:rsidRDefault="00B64349">
      <w:pPr>
        <w:pStyle w:val="TableofFigures"/>
        <w:tabs>
          <w:tab w:val="right" w:leader="dot" w:pos="9017"/>
        </w:tabs>
        <w:rPr>
          <w:rFonts w:eastAsiaTheme="minorEastAsia" w:cstheme="minorBidi"/>
          <w:b w:val="0"/>
          <w:bCs w:val="0"/>
          <w:noProof/>
          <w:sz w:val="22"/>
          <w:szCs w:val="22"/>
          <w:lang w:val="en-GB" w:eastAsia="en-GB"/>
        </w:rPr>
      </w:pPr>
      <w:hyperlink w:anchor="_Toc512556869" w:history="1">
        <w:r w:rsidRPr="00C83784">
          <w:rPr>
            <w:rStyle w:val="Hyperlink"/>
            <w:noProof/>
          </w:rPr>
          <w:t>Table 12 – Authority procedures for processing applications for medical exemption</w:t>
        </w:r>
        <w:r>
          <w:rPr>
            <w:noProof/>
            <w:webHidden/>
          </w:rPr>
          <w:tab/>
        </w:r>
        <w:r>
          <w:rPr>
            <w:noProof/>
            <w:webHidden/>
          </w:rPr>
          <w:fldChar w:fldCharType="begin"/>
        </w:r>
        <w:r>
          <w:rPr>
            <w:noProof/>
            <w:webHidden/>
          </w:rPr>
          <w:instrText xml:space="preserve"> PAGEREF _Toc512556869 \h </w:instrText>
        </w:r>
        <w:r>
          <w:rPr>
            <w:noProof/>
            <w:webHidden/>
          </w:rPr>
        </w:r>
        <w:r>
          <w:rPr>
            <w:noProof/>
            <w:webHidden/>
          </w:rPr>
          <w:fldChar w:fldCharType="separate"/>
        </w:r>
        <w:r>
          <w:rPr>
            <w:noProof/>
            <w:webHidden/>
          </w:rPr>
          <w:t>19</w:t>
        </w:r>
        <w:r>
          <w:rPr>
            <w:noProof/>
            <w:webHidden/>
          </w:rPr>
          <w:fldChar w:fldCharType="end"/>
        </w:r>
      </w:hyperlink>
    </w:p>
    <w:p w14:paraId="6C8FECAF" w14:textId="0A832C7E" w:rsidR="00B64349" w:rsidRDefault="00B64349">
      <w:pPr>
        <w:pStyle w:val="TableofFigures"/>
        <w:tabs>
          <w:tab w:val="right" w:leader="dot" w:pos="9017"/>
        </w:tabs>
        <w:rPr>
          <w:rFonts w:eastAsiaTheme="minorEastAsia" w:cstheme="minorBidi"/>
          <w:b w:val="0"/>
          <w:bCs w:val="0"/>
          <w:noProof/>
          <w:sz w:val="22"/>
          <w:szCs w:val="22"/>
          <w:lang w:val="en-GB" w:eastAsia="en-GB"/>
        </w:rPr>
      </w:pPr>
      <w:hyperlink w:anchor="_Toc512556870" w:history="1">
        <w:r w:rsidRPr="00C83784">
          <w:rPr>
            <w:rStyle w:val="Hyperlink"/>
            <w:noProof/>
          </w:rPr>
          <w:t>Table 13 – Authorities that produced lists of vehicles that can accommodate wheelchair users who transfer into a seat</w:t>
        </w:r>
        <w:r>
          <w:rPr>
            <w:noProof/>
            <w:webHidden/>
          </w:rPr>
          <w:tab/>
        </w:r>
        <w:r>
          <w:rPr>
            <w:noProof/>
            <w:webHidden/>
          </w:rPr>
          <w:fldChar w:fldCharType="begin"/>
        </w:r>
        <w:r>
          <w:rPr>
            <w:noProof/>
            <w:webHidden/>
          </w:rPr>
          <w:instrText xml:space="preserve"> PAGEREF _Toc512556870 \h </w:instrText>
        </w:r>
        <w:r>
          <w:rPr>
            <w:noProof/>
            <w:webHidden/>
          </w:rPr>
        </w:r>
        <w:r>
          <w:rPr>
            <w:noProof/>
            <w:webHidden/>
          </w:rPr>
          <w:fldChar w:fldCharType="separate"/>
        </w:r>
        <w:r>
          <w:rPr>
            <w:noProof/>
            <w:webHidden/>
          </w:rPr>
          <w:t>19</w:t>
        </w:r>
        <w:r>
          <w:rPr>
            <w:noProof/>
            <w:webHidden/>
          </w:rPr>
          <w:fldChar w:fldCharType="end"/>
        </w:r>
      </w:hyperlink>
    </w:p>
    <w:p w14:paraId="6877ED15" w14:textId="588D0967" w:rsidR="00B64349" w:rsidRDefault="00B64349">
      <w:pPr>
        <w:pStyle w:val="TableofFigures"/>
        <w:tabs>
          <w:tab w:val="right" w:leader="dot" w:pos="9017"/>
        </w:tabs>
        <w:rPr>
          <w:rFonts w:eastAsiaTheme="minorEastAsia" w:cstheme="minorBidi"/>
          <w:b w:val="0"/>
          <w:bCs w:val="0"/>
          <w:noProof/>
          <w:sz w:val="22"/>
          <w:szCs w:val="22"/>
          <w:lang w:val="en-GB" w:eastAsia="en-GB"/>
        </w:rPr>
      </w:pPr>
      <w:hyperlink w:anchor="_Toc512556871" w:history="1">
        <w:r w:rsidRPr="00C83784">
          <w:rPr>
            <w:rStyle w:val="Hyperlink"/>
            <w:noProof/>
          </w:rPr>
          <w:t>Table 14 – Changes in Numbers of S166 Exemptions between April and November 2017</w:t>
        </w:r>
        <w:r>
          <w:rPr>
            <w:noProof/>
            <w:webHidden/>
          </w:rPr>
          <w:tab/>
        </w:r>
        <w:r>
          <w:rPr>
            <w:noProof/>
            <w:webHidden/>
          </w:rPr>
          <w:fldChar w:fldCharType="begin"/>
        </w:r>
        <w:r>
          <w:rPr>
            <w:noProof/>
            <w:webHidden/>
          </w:rPr>
          <w:instrText xml:space="preserve"> PAGEREF _Toc512556871 \h </w:instrText>
        </w:r>
        <w:r>
          <w:rPr>
            <w:noProof/>
            <w:webHidden/>
          </w:rPr>
        </w:r>
        <w:r>
          <w:rPr>
            <w:noProof/>
            <w:webHidden/>
          </w:rPr>
          <w:fldChar w:fldCharType="separate"/>
        </w:r>
        <w:r>
          <w:rPr>
            <w:noProof/>
            <w:webHidden/>
          </w:rPr>
          <w:t>20</w:t>
        </w:r>
        <w:r>
          <w:rPr>
            <w:noProof/>
            <w:webHidden/>
          </w:rPr>
          <w:fldChar w:fldCharType="end"/>
        </w:r>
      </w:hyperlink>
    </w:p>
    <w:p w14:paraId="5BCF340A" w14:textId="7CE8F021" w:rsidR="00B64349" w:rsidRDefault="00B64349">
      <w:pPr>
        <w:pStyle w:val="TableofFigures"/>
        <w:tabs>
          <w:tab w:val="right" w:leader="dot" w:pos="9017"/>
        </w:tabs>
        <w:rPr>
          <w:rFonts w:eastAsiaTheme="minorEastAsia" w:cstheme="minorBidi"/>
          <w:b w:val="0"/>
          <w:bCs w:val="0"/>
          <w:noProof/>
          <w:sz w:val="22"/>
          <w:szCs w:val="22"/>
          <w:lang w:val="en-GB" w:eastAsia="en-GB"/>
        </w:rPr>
      </w:pPr>
      <w:hyperlink w:anchor="_Toc512556872" w:history="1">
        <w:r w:rsidRPr="00C83784">
          <w:rPr>
            <w:rStyle w:val="Hyperlink"/>
            <w:noProof/>
          </w:rPr>
          <w:t>Table 15 – Changes in wheelchair accessible taxi vehicle numbers, 2015–2017</w:t>
        </w:r>
        <w:r>
          <w:rPr>
            <w:noProof/>
            <w:webHidden/>
          </w:rPr>
          <w:tab/>
        </w:r>
        <w:r>
          <w:rPr>
            <w:noProof/>
            <w:webHidden/>
          </w:rPr>
          <w:fldChar w:fldCharType="begin"/>
        </w:r>
        <w:r>
          <w:rPr>
            <w:noProof/>
            <w:webHidden/>
          </w:rPr>
          <w:instrText xml:space="preserve"> PAGEREF _Toc512556872 \h </w:instrText>
        </w:r>
        <w:r>
          <w:rPr>
            <w:noProof/>
            <w:webHidden/>
          </w:rPr>
        </w:r>
        <w:r>
          <w:rPr>
            <w:noProof/>
            <w:webHidden/>
          </w:rPr>
          <w:fldChar w:fldCharType="separate"/>
        </w:r>
        <w:r>
          <w:rPr>
            <w:noProof/>
            <w:webHidden/>
          </w:rPr>
          <w:t>23</w:t>
        </w:r>
        <w:r>
          <w:rPr>
            <w:noProof/>
            <w:webHidden/>
          </w:rPr>
          <w:fldChar w:fldCharType="end"/>
        </w:r>
      </w:hyperlink>
    </w:p>
    <w:p w14:paraId="370C55AD" w14:textId="122632B5" w:rsidR="00B64349" w:rsidRDefault="00B64349">
      <w:pPr>
        <w:pStyle w:val="TableofFigures"/>
        <w:tabs>
          <w:tab w:val="right" w:leader="dot" w:pos="9017"/>
        </w:tabs>
        <w:rPr>
          <w:rFonts w:eastAsiaTheme="minorEastAsia" w:cstheme="minorBidi"/>
          <w:b w:val="0"/>
          <w:bCs w:val="0"/>
          <w:noProof/>
          <w:sz w:val="22"/>
          <w:szCs w:val="22"/>
          <w:lang w:val="en-GB" w:eastAsia="en-GB"/>
        </w:rPr>
      </w:pPr>
      <w:hyperlink w:anchor="_Toc512556873" w:history="1">
        <w:r w:rsidRPr="00C83784">
          <w:rPr>
            <w:rStyle w:val="Hyperlink"/>
            <w:noProof/>
          </w:rPr>
          <w:t>Table 16 – Licensing authorities’ policy on WAV Only licenses and Awareness Training</w:t>
        </w:r>
        <w:r>
          <w:rPr>
            <w:noProof/>
            <w:webHidden/>
          </w:rPr>
          <w:tab/>
        </w:r>
        <w:r>
          <w:rPr>
            <w:noProof/>
            <w:webHidden/>
          </w:rPr>
          <w:fldChar w:fldCharType="begin"/>
        </w:r>
        <w:r>
          <w:rPr>
            <w:noProof/>
            <w:webHidden/>
          </w:rPr>
          <w:instrText xml:space="preserve"> PAGEREF _Toc512556873 \h </w:instrText>
        </w:r>
        <w:r>
          <w:rPr>
            <w:noProof/>
            <w:webHidden/>
          </w:rPr>
        </w:r>
        <w:r>
          <w:rPr>
            <w:noProof/>
            <w:webHidden/>
          </w:rPr>
          <w:fldChar w:fldCharType="separate"/>
        </w:r>
        <w:r>
          <w:rPr>
            <w:noProof/>
            <w:webHidden/>
          </w:rPr>
          <w:t>26</w:t>
        </w:r>
        <w:r>
          <w:rPr>
            <w:noProof/>
            <w:webHidden/>
          </w:rPr>
          <w:fldChar w:fldCharType="end"/>
        </w:r>
      </w:hyperlink>
    </w:p>
    <w:p w14:paraId="6F3F92DB" w14:textId="4FBCF1E5" w:rsidR="00B64349" w:rsidRDefault="00B64349">
      <w:pPr>
        <w:pStyle w:val="TableofFigures"/>
        <w:tabs>
          <w:tab w:val="right" w:leader="dot" w:pos="9017"/>
        </w:tabs>
        <w:rPr>
          <w:rFonts w:eastAsiaTheme="minorEastAsia" w:cstheme="minorBidi"/>
          <w:b w:val="0"/>
          <w:bCs w:val="0"/>
          <w:noProof/>
          <w:sz w:val="22"/>
          <w:szCs w:val="22"/>
          <w:lang w:val="en-GB" w:eastAsia="en-GB"/>
        </w:rPr>
      </w:pPr>
      <w:hyperlink w:anchor="_Toc512556874" w:history="1">
        <w:r w:rsidRPr="00C83784">
          <w:rPr>
            <w:rStyle w:val="Hyperlink"/>
            <w:noProof/>
          </w:rPr>
          <w:t>Table 17 – Change in Policy on reserving licenses for WAV and requiring disability awareness training</w:t>
        </w:r>
        <w:r>
          <w:rPr>
            <w:noProof/>
            <w:webHidden/>
          </w:rPr>
          <w:tab/>
        </w:r>
        <w:r>
          <w:rPr>
            <w:noProof/>
            <w:webHidden/>
          </w:rPr>
          <w:fldChar w:fldCharType="begin"/>
        </w:r>
        <w:r>
          <w:rPr>
            <w:noProof/>
            <w:webHidden/>
          </w:rPr>
          <w:instrText xml:space="preserve"> PAGEREF _Toc512556874 \h </w:instrText>
        </w:r>
        <w:r>
          <w:rPr>
            <w:noProof/>
            <w:webHidden/>
          </w:rPr>
        </w:r>
        <w:r>
          <w:rPr>
            <w:noProof/>
            <w:webHidden/>
          </w:rPr>
          <w:fldChar w:fldCharType="separate"/>
        </w:r>
        <w:r>
          <w:rPr>
            <w:noProof/>
            <w:webHidden/>
          </w:rPr>
          <w:t>26</w:t>
        </w:r>
        <w:r>
          <w:rPr>
            <w:noProof/>
            <w:webHidden/>
          </w:rPr>
          <w:fldChar w:fldCharType="end"/>
        </w:r>
      </w:hyperlink>
    </w:p>
    <w:p w14:paraId="74F1C08F" w14:textId="5BED0DC5" w:rsidR="00B64349" w:rsidRDefault="00B64349">
      <w:pPr>
        <w:pStyle w:val="TableofFigures"/>
        <w:tabs>
          <w:tab w:val="right" w:leader="dot" w:pos="9017"/>
        </w:tabs>
        <w:rPr>
          <w:rFonts w:eastAsiaTheme="minorEastAsia" w:cstheme="minorBidi"/>
          <w:b w:val="0"/>
          <w:bCs w:val="0"/>
          <w:noProof/>
          <w:sz w:val="22"/>
          <w:szCs w:val="22"/>
          <w:lang w:val="en-GB" w:eastAsia="en-GB"/>
        </w:rPr>
      </w:pPr>
      <w:hyperlink w:anchor="_Toc512556875" w:history="1">
        <w:r w:rsidRPr="00C83784">
          <w:rPr>
            <w:rStyle w:val="Hyperlink"/>
            <w:noProof/>
          </w:rPr>
          <w:t>Table 18 – GB Licensing authority policy movements on disability accessibility, 2015–2017</w:t>
        </w:r>
        <w:r>
          <w:rPr>
            <w:noProof/>
            <w:webHidden/>
          </w:rPr>
          <w:tab/>
        </w:r>
        <w:r>
          <w:rPr>
            <w:noProof/>
            <w:webHidden/>
          </w:rPr>
          <w:fldChar w:fldCharType="begin"/>
        </w:r>
        <w:r>
          <w:rPr>
            <w:noProof/>
            <w:webHidden/>
          </w:rPr>
          <w:instrText xml:space="preserve"> PAGEREF _Toc512556875 \h </w:instrText>
        </w:r>
        <w:r>
          <w:rPr>
            <w:noProof/>
            <w:webHidden/>
          </w:rPr>
        </w:r>
        <w:r>
          <w:rPr>
            <w:noProof/>
            <w:webHidden/>
          </w:rPr>
          <w:fldChar w:fldCharType="separate"/>
        </w:r>
        <w:r>
          <w:rPr>
            <w:noProof/>
            <w:webHidden/>
          </w:rPr>
          <w:t>26</w:t>
        </w:r>
        <w:r>
          <w:rPr>
            <w:noProof/>
            <w:webHidden/>
          </w:rPr>
          <w:fldChar w:fldCharType="end"/>
        </w:r>
      </w:hyperlink>
    </w:p>
    <w:p w14:paraId="78E4A9CA" w14:textId="2C7CF28D" w:rsidR="007865A5" w:rsidRPr="007865A5" w:rsidRDefault="007865A5" w:rsidP="007865A5">
      <w:pPr>
        <w:pStyle w:val="Heading3"/>
      </w:pPr>
      <w:r>
        <w:fldChar w:fldCharType="end"/>
      </w:r>
      <w:bookmarkStart w:id="194" w:name="_Toc488088808"/>
      <w:bookmarkStart w:id="195" w:name="_Toc488093196"/>
      <w:bookmarkStart w:id="196" w:name="_Toc512556939"/>
      <w:r>
        <w:t>Figures</w:t>
      </w:r>
      <w:bookmarkEnd w:id="194"/>
      <w:bookmarkEnd w:id="195"/>
      <w:bookmarkEnd w:id="196"/>
    </w:p>
    <w:p w14:paraId="58B2551C" w14:textId="78E4B7A7" w:rsidR="00B64349" w:rsidRDefault="007865A5">
      <w:pPr>
        <w:pStyle w:val="TableofFigures"/>
        <w:tabs>
          <w:tab w:val="right" w:leader="dot" w:pos="9017"/>
        </w:tabs>
        <w:rPr>
          <w:rFonts w:eastAsiaTheme="minorEastAsia" w:cstheme="minorBidi"/>
          <w:b w:val="0"/>
          <w:bCs w:val="0"/>
          <w:noProof/>
          <w:sz w:val="22"/>
          <w:szCs w:val="22"/>
          <w:lang w:val="en-GB" w:eastAsia="en-GB"/>
        </w:rPr>
      </w:pPr>
      <w:r>
        <w:fldChar w:fldCharType="begin"/>
      </w:r>
      <w:r>
        <w:instrText xml:space="preserve"> TOC \h \z \c "Figure" </w:instrText>
      </w:r>
      <w:r>
        <w:fldChar w:fldCharType="separate"/>
      </w:r>
      <w:hyperlink w:anchor="_Toc512556850" w:history="1">
        <w:r w:rsidR="00B64349" w:rsidRPr="00CB27F4">
          <w:rPr>
            <w:rStyle w:val="Hyperlink"/>
            <w:noProof/>
          </w:rPr>
          <w:t>Figure 1 –GB S167 intent</w:t>
        </w:r>
        <w:r w:rsidR="00B64349">
          <w:rPr>
            <w:noProof/>
            <w:webHidden/>
          </w:rPr>
          <w:tab/>
        </w:r>
        <w:r w:rsidR="00B64349">
          <w:rPr>
            <w:noProof/>
            <w:webHidden/>
          </w:rPr>
          <w:fldChar w:fldCharType="begin"/>
        </w:r>
        <w:r w:rsidR="00B64349">
          <w:rPr>
            <w:noProof/>
            <w:webHidden/>
          </w:rPr>
          <w:instrText xml:space="preserve"> PAGEREF _Toc512556850 \h </w:instrText>
        </w:r>
        <w:r w:rsidR="00B64349">
          <w:rPr>
            <w:noProof/>
            <w:webHidden/>
          </w:rPr>
        </w:r>
        <w:r w:rsidR="00B64349">
          <w:rPr>
            <w:noProof/>
            <w:webHidden/>
          </w:rPr>
          <w:fldChar w:fldCharType="separate"/>
        </w:r>
        <w:r w:rsidR="00B64349">
          <w:rPr>
            <w:noProof/>
            <w:webHidden/>
          </w:rPr>
          <w:t>8</w:t>
        </w:r>
        <w:r w:rsidR="00B64349">
          <w:rPr>
            <w:noProof/>
            <w:webHidden/>
          </w:rPr>
          <w:fldChar w:fldCharType="end"/>
        </w:r>
      </w:hyperlink>
    </w:p>
    <w:p w14:paraId="4C77F3FB" w14:textId="771901F5" w:rsidR="00B64349" w:rsidRDefault="00B64349">
      <w:pPr>
        <w:pStyle w:val="TableofFigures"/>
        <w:tabs>
          <w:tab w:val="right" w:leader="dot" w:pos="9017"/>
        </w:tabs>
        <w:rPr>
          <w:rFonts w:eastAsiaTheme="minorEastAsia" w:cstheme="minorBidi"/>
          <w:b w:val="0"/>
          <w:bCs w:val="0"/>
          <w:noProof/>
          <w:sz w:val="22"/>
          <w:szCs w:val="22"/>
          <w:lang w:val="en-GB" w:eastAsia="en-GB"/>
        </w:rPr>
      </w:pPr>
      <w:hyperlink w:anchor="_Toc512556851" w:history="1">
        <w:r w:rsidRPr="00CB27F4">
          <w:rPr>
            <w:rStyle w:val="Hyperlink"/>
            <w:noProof/>
          </w:rPr>
          <w:t>Figure 2 – Constituent countries S167 intent</w:t>
        </w:r>
        <w:r>
          <w:rPr>
            <w:noProof/>
            <w:webHidden/>
          </w:rPr>
          <w:tab/>
        </w:r>
        <w:r>
          <w:rPr>
            <w:noProof/>
            <w:webHidden/>
          </w:rPr>
          <w:fldChar w:fldCharType="begin"/>
        </w:r>
        <w:r>
          <w:rPr>
            <w:noProof/>
            <w:webHidden/>
          </w:rPr>
          <w:instrText xml:space="preserve"> PAGEREF _Toc512556851 \h </w:instrText>
        </w:r>
        <w:r>
          <w:rPr>
            <w:noProof/>
            <w:webHidden/>
          </w:rPr>
        </w:r>
        <w:r>
          <w:rPr>
            <w:noProof/>
            <w:webHidden/>
          </w:rPr>
          <w:fldChar w:fldCharType="separate"/>
        </w:r>
        <w:r>
          <w:rPr>
            <w:noProof/>
            <w:webHidden/>
          </w:rPr>
          <w:t>10</w:t>
        </w:r>
        <w:r>
          <w:rPr>
            <w:noProof/>
            <w:webHidden/>
          </w:rPr>
          <w:fldChar w:fldCharType="end"/>
        </w:r>
      </w:hyperlink>
    </w:p>
    <w:p w14:paraId="30D7B1BC" w14:textId="3C92D6A0" w:rsidR="00B64349" w:rsidRDefault="00B64349">
      <w:pPr>
        <w:pStyle w:val="TableofFigures"/>
        <w:tabs>
          <w:tab w:val="right" w:leader="dot" w:pos="9017"/>
        </w:tabs>
        <w:rPr>
          <w:rFonts w:eastAsiaTheme="minorEastAsia" w:cstheme="minorBidi"/>
          <w:b w:val="0"/>
          <w:bCs w:val="0"/>
          <w:noProof/>
          <w:sz w:val="22"/>
          <w:szCs w:val="22"/>
          <w:lang w:val="en-GB" w:eastAsia="en-GB"/>
        </w:rPr>
      </w:pPr>
      <w:hyperlink w:anchor="_Toc512556852" w:history="1">
        <w:r w:rsidRPr="00CB27F4">
          <w:rPr>
            <w:rStyle w:val="Hyperlink"/>
            <w:noProof/>
          </w:rPr>
          <w:t>Figure 3 – GB S167 grade</w:t>
        </w:r>
        <w:r>
          <w:rPr>
            <w:noProof/>
            <w:webHidden/>
          </w:rPr>
          <w:tab/>
        </w:r>
        <w:r>
          <w:rPr>
            <w:noProof/>
            <w:webHidden/>
          </w:rPr>
          <w:fldChar w:fldCharType="begin"/>
        </w:r>
        <w:r>
          <w:rPr>
            <w:noProof/>
            <w:webHidden/>
          </w:rPr>
          <w:instrText xml:space="preserve"> PAGEREF _Toc512556852 \h </w:instrText>
        </w:r>
        <w:r>
          <w:rPr>
            <w:noProof/>
            <w:webHidden/>
          </w:rPr>
        </w:r>
        <w:r>
          <w:rPr>
            <w:noProof/>
            <w:webHidden/>
          </w:rPr>
          <w:fldChar w:fldCharType="separate"/>
        </w:r>
        <w:r>
          <w:rPr>
            <w:noProof/>
            <w:webHidden/>
          </w:rPr>
          <w:t>11</w:t>
        </w:r>
        <w:r>
          <w:rPr>
            <w:noProof/>
            <w:webHidden/>
          </w:rPr>
          <w:fldChar w:fldCharType="end"/>
        </w:r>
      </w:hyperlink>
    </w:p>
    <w:p w14:paraId="5DCA530F" w14:textId="10936831" w:rsidR="00B64349" w:rsidRDefault="00B64349">
      <w:pPr>
        <w:pStyle w:val="TableofFigures"/>
        <w:tabs>
          <w:tab w:val="right" w:leader="dot" w:pos="9017"/>
        </w:tabs>
        <w:rPr>
          <w:rFonts w:eastAsiaTheme="minorEastAsia" w:cstheme="minorBidi"/>
          <w:b w:val="0"/>
          <w:bCs w:val="0"/>
          <w:noProof/>
          <w:sz w:val="22"/>
          <w:szCs w:val="22"/>
          <w:lang w:val="en-GB" w:eastAsia="en-GB"/>
        </w:rPr>
      </w:pPr>
      <w:hyperlink w:anchor="_Toc512556853" w:history="1">
        <w:r w:rsidRPr="00CB27F4">
          <w:rPr>
            <w:rStyle w:val="Hyperlink"/>
            <w:noProof/>
          </w:rPr>
          <w:t>Figure 4 – Constituent countries S167 grades</w:t>
        </w:r>
        <w:r>
          <w:rPr>
            <w:noProof/>
            <w:webHidden/>
          </w:rPr>
          <w:tab/>
        </w:r>
        <w:r>
          <w:rPr>
            <w:noProof/>
            <w:webHidden/>
          </w:rPr>
          <w:fldChar w:fldCharType="begin"/>
        </w:r>
        <w:r>
          <w:rPr>
            <w:noProof/>
            <w:webHidden/>
          </w:rPr>
          <w:instrText xml:space="preserve"> PAGEREF _Toc512556853 \h </w:instrText>
        </w:r>
        <w:r>
          <w:rPr>
            <w:noProof/>
            <w:webHidden/>
          </w:rPr>
        </w:r>
        <w:r>
          <w:rPr>
            <w:noProof/>
            <w:webHidden/>
          </w:rPr>
          <w:fldChar w:fldCharType="separate"/>
        </w:r>
        <w:r>
          <w:rPr>
            <w:noProof/>
            <w:webHidden/>
          </w:rPr>
          <w:t>13</w:t>
        </w:r>
        <w:r>
          <w:rPr>
            <w:noProof/>
            <w:webHidden/>
          </w:rPr>
          <w:fldChar w:fldCharType="end"/>
        </w:r>
      </w:hyperlink>
    </w:p>
    <w:p w14:paraId="35E15784" w14:textId="7A1C4B5B" w:rsidR="00B64349" w:rsidRDefault="00B64349">
      <w:pPr>
        <w:pStyle w:val="TableofFigures"/>
        <w:tabs>
          <w:tab w:val="right" w:leader="dot" w:pos="9017"/>
        </w:tabs>
        <w:rPr>
          <w:rFonts w:eastAsiaTheme="minorEastAsia" w:cstheme="minorBidi"/>
          <w:b w:val="0"/>
          <w:bCs w:val="0"/>
          <w:noProof/>
          <w:sz w:val="22"/>
          <w:szCs w:val="22"/>
          <w:lang w:val="en-GB" w:eastAsia="en-GB"/>
        </w:rPr>
      </w:pPr>
      <w:hyperlink w:anchor="_Toc512556854" w:history="1">
        <w:r w:rsidRPr="00CB27F4">
          <w:rPr>
            <w:rStyle w:val="Hyperlink"/>
            <w:noProof/>
          </w:rPr>
          <w:t>Figure 5 – Changes in S167 Intent and Grades</w:t>
        </w:r>
        <w:r>
          <w:rPr>
            <w:noProof/>
            <w:webHidden/>
          </w:rPr>
          <w:tab/>
        </w:r>
        <w:r>
          <w:rPr>
            <w:noProof/>
            <w:webHidden/>
          </w:rPr>
          <w:fldChar w:fldCharType="begin"/>
        </w:r>
        <w:r>
          <w:rPr>
            <w:noProof/>
            <w:webHidden/>
          </w:rPr>
          <w:instrText xml:space="preserve"> PAGEREF _Toc512556854 \h </w:instrText>
        </w:r>
        <w:r>
          <w:rPr>
            <w:noProof/>
            <w:webHidden/>
          </w:rPr>
        </w:r>
        <w:r>
          <w:rPr>
            <w:noProof/>
            <w:webHidden/>
          </w:rPr>
          <w:fldChar w:fldCharType="separate"/>
        </w:r>
        <w:r>
          <w:rPr>
            <w:noProof/>
            <w:webHidden/>
          </w:rPr>
          <w:t>14</w:t>
        </w:r>
        <w:r>
          <w:rPr>
            <w:noProof/>
            <w:webHidden/>
          </w:rPr>
          <w:fldChar w:fldCharType="end"/>
        </w:r>
      </w:hyperlink>
    </w:p>
    <w:p w14:paraId="20E74077" w14:textId="072ED17A" w:rsidR="00B64349" w:rsidRDefault="00B64349">
      <w:pPr>
        <w:pStyle w:val="TableofFigures"/>
        <w:tabs>
          <w:tab w:val="right" w:leader="dot" w:pos="9017"/>
        </w:tabs>
        <w:rPr>
          <w:rFonts w:eastAsiaTheme="minorEastAsia" w:cstheme="minorBidi"/>
          <w:b w:val="0"/>
          <w:bCs w:val="0"/>
          <w:noProof/>
          <w:sz w:val="22"/>
          <w:szCs w:val="22"/>
          <w:lang w:val="en-GB" w:eastAsia="en-GB"/>
        </w:rPr>
      </w:pPr>
      <w:hyperlink r:id="rId47" w:anchor="_Toc512556855" w:history="1">
        <w:r w:rsidRPr="00CB27F4">
          <w:rPr>
            <w:rStyle w:val="Hyperlink"/>
            <w:noProof/>
          </w:rPr>
          <w:t>Figure 6 – Constituent countries’ change in S167 intent and grade</w:t>
        </w:r>
        <w:r>
          <w:rPr>
            <w:noProof/>
            <w:webHidden/>
          </w:rPr>
          <w:tab/>
        </w:r>
        <w:r>
          <w:rPr>
            <w:noProof/>
            <w:webHidden/>
          </w:rPr>
          <w:fldChar w:fldCharType="begin"/>
        </w:r>
        <w:r>
          <w:rPr>
            <w:noProof/>
            <w:webHidden/>
          </w:rPr>
          <w:instrText xml:space="preserve"> PAGEREF _Toc512556855 \h </w:instrText>
        </w:r>
        <w:r>
          <w:rPr>
            <w:noProof/>
            <w:webHidden/>
          </w:rPr>
        </w:r>
        <w:r>
          <w:rPr>
            <w:noProof/>
            <w:webHidden/>
          </w:rPr>
          <w:fldChar w:fldCharType="separate"/>
        </w:r>
        <w:r>
          <w:rPr>
            <w:noProof/>
            <w:webHidden/>
          </w:rPr>
          <w:t>15</w:t>
        </w:r>
        <w:r>
          <w:rPr>
            <w:noProof/>
            <w:webHidden/>
          </w:rPr>
          <w:fldChar w:fldCharType="end"/>
        </w:r>
      </w:hyperlink>
    </w:p>
    <w:p w14:paraId="62A0E314" w14:textId="797848DB" w:rsidR="00B64349" w:rsidRDefault="00B64349">
      <w:pPr>
        <w:pStyle w:val="TableofFigures"/>
        <w:tabs>
          <w:tab w:val="right" w:leader="dot" w:pos="9017"/>
        </w:tabs>
        <w:rPr>
          <w:rFonts w:eastAsiaTheme="minorEastAsia" w:cstheme="minorBidi"/>
          <w:b w:val="0"/>
          <w:bCs w:val="0"/>
          <w:noProof/>
          <w:sz w:val="22"/>
          <w:szCs w:val="22"/>
          <w:lang w:val="en-GB" w:eastAsia="en-GB"/>
        </w:rPr>
      </w:pPr>
      <w:hyperlink w:anchor="_Toc512556856" w:history="1">
        <w:r w:rsidRPr="00CB27F4">
          <w:rPr>
            <w:rStyle w:val="Hyperlink"/>
            <w:noProof/>
          </w:rPr>
          <w:t>Figure 7 – S167 intent and grade of authorities with 100% accessible hackney carriage fleets</w:t>
        </w:r>
        <w:r>
          <w:rPr>
            <w:noProof/>
            <w:webHidden/>
          </w:rPr>
          <w:tab/>
        </w:r>
        <w:r>
          <w:rPr>
            <w:noProof/>
            <w:webHidden/>
          </w:rPr>
          <w:fldChar w:fldCharType="begin"/>
        </w:r>
        <w:r>
          <w:rPr>
            <w:noProof/>
            <w:webHidden/>
          </w:rPr>
          <w:instrText xml:space="preserve"> PAGEREF _Toc512556856 \h </w:instrText>
        </w:r>
        <w:r>
          <w:rPr>
            <w:noProof/>
            <w:webHidden/>
          </w:rPr>
        </w:r>
        <w:r>
          <w:rPr>
            <w:noProof/>
            <w:webHidden/>
          </w:rPr>
          <w:fldChar w:fldCharType="separate"/>
        </w:r>
        <w:r>
          <w:rPr>
            <w:noProof/>
            <w:webHidden/>
          </w:rPr>
          <w:t>16</w:t>
        </w:r>
        <w:r>
          <w:rPr>
            <w:noProof/>
            <w:webHidden/>
          </w:rPr>
          <w:fldChar w:fldCharType="end"/>
        </w:r>
      </w:hyperlink>
    </w:p>
    <w:p w14:paraId="51346BE7" w14:textId="60A6DF1E" w:rsidR="00B64349" w:rsidRDefault="00B64349">
      <w:pPr>
        <w:pStyle w:val="TableofFigures"/>
        <w:tabs>
          <w:tab w:val="right" w:leader="dot" w:pos="9017"/>
        </w:tabs>
        <w:rPr>
          <w:rFonts w:eastAsiaTheme="minorEastAsia" w:cstheme="minorBidi"/>
          <w:b w:val="0"/>
          <w:bCs w:val="0"/>
          <w:noProof/>
          <w:sz w:val="22"/>
          <w:szCs w:val="22"/>
          <w:lang w:val="en-GB" w:eastAsia="en-GB"/>
        </w:rPr>
      </w:pPr>
      <w:hyperlink w:anchor="_Toc512556857" w:history="1">
        <w:r w:rsidRPr="00CB27F4">
          <w:rPr>
            <w:rStyle w:val="Hyperlink"/>
            <w:noProof/>
          </w:rPr>
          <w:t>Figure 8 – Authority compliance with Statutory Guidance</w:t>
        </w:r>
        <w:r>
          <w:rPr>
            <w:noProof/>
            <w:webHidden/>
          </w:rPr>
          <w:tab/>
        </w:r>
        <w:r>
          <w:rPr>
            <w:noProof/>
            <w:webHidden/>
          </w:rPr>
          <w:fldChar w:fldCharType="begin"/>
        </w:r>
        <w:r>
          <w:rPr>
            <w:noProof/>
            <w:webHidden/>
          </w:rPr>
          <w:instrText xml:space="preserve"> PAGEREF _Toc512556857 \h </w:instrText>
        </w:r>
        <w:r>
          <w:rPr>
            <w:noProof/>
            <w:webHidden/>
          </w:rPr>
        </w:r>
        <w:r>
          <w:rPr>
            <w:noProof/>
            <w:webHidden/>
          </w:rPr>
          <w:fldChar w:fldCharType="separate"/>
        </w:r>
        <w:r>
          <w:rPr>
            <w:noProof/>
            <w:webHidden/>
          </w:rPr>
          <w:t>17</w:t>
        </w:r>
        <w:r>
          <w:rPr>
            <w:noProof/>
            <w:webHidden/>
          </w:rPr>
          <w:fldChar w:fldCharType="end"/>
        </w:r>
      </w:hyperlink>
    </w:p>
    <w:p w14:paraId="4E359258" w14:textId="5086A69A" w:rsidR="007865A5" w:rsidRDefault="007865A5" w:rsidP="007865A5">
      <w:pPr>
        <w:pStyle w:val="Heading3"/>
      </w:pPr>
      <w:r>
        <w:fldChar w:fldCharType="end"/>
      </w:r>
      <w:bookmarkStart w:id="197" w:name="_Toc488088809"/>
      <w:bookmarkStart w:id="198" w:name="_Toc488093197"/>
      <w:bookmarkStart w:id="199" w:name="_Toc512556940"/>
      <w:r>
        <w:t>Maps</w:t>
      </w:r>
      <w:bookmarkEnd w:id="197"/>
      <w:bookmarkEnd w:id="198"/>
      <w:bookmarkEnd w:id="199"/>
    </w:p>
    <w:p w14:paraId="541A9E96" w14:textId="579E2E78" w:rsidR="00B64349" w:rsidRDefault="007865A5">
      <w:pPr>
        <w:pStyle w:val="TableofFigures"/>
        <w:tabs>
          <w:tab w:val="right" w:leader="dot" w:pos="9017"/>
        </w:tabs>
        <w:rPr>
          <w:rFonts w:eastAsiaTheme="minorEastAsia" w:cstheme="minorBidi"/>
          <w:b w:val="0"/>
          <w:bCs w:val="0"/>
          <w:noProof/>
          <w:sz w:val="22"/>
          <w:szCs w:val="22"/>
          <w:lang w:val="en-GB" w:eastAsia="en-GB"/>
        </w:rPr>
      </w:pPr>
      <w:r>
        <w:fldChar w:fldCharType="begin"/>
      </w:r>
      <w:r>
        <w:instrText xml:space="preserve"> TOC \h \z \c "Map " </w:instrText>
      </w:r>
      <w:r>
        <w:fldChar w:fldCharType="separate"/>
      </w:r>
      <w:hyperlink w:anchor="_Toc512556844" w:history="1">
        <w:r w:rsidR="00B64349" w:rsidRPr="00D77F60">
          <w:rPr>
            <w:rStyle w:val="Hyperlink"/>
            <w:noProof/>
          </w:rPr>
          <w:t>Map  1 – S167 intent</w:t>
        </w:r>
        <w:r w:rsidR="00B64349">
          <w:rPr>
            <w:noProof/>
            <w:webHidden/>
          </w:rPr>
          <w:tab/>
        </w:r>
        <w:r w:rsidR="00B64349">
          <w:rPr>
            <w:noProof/>
            <w:webHidden/>
          </w:rPr>
          <w:fldChar w:fldCharType="begin"/>
        </w:r>
        <w:r w:rsidR="00B64349">
          <w:rPr>
            <w:noProof/>
            <w:webHidden/>
          </w:rPr>
          <w:instrText xml:space="preserve"> PAGEREF _Toc512556844 \h </w:instrText>
        </w:r>
        <w:r w:rsidR="00B64349">
          <w:rPr>
            <w:noProof/>
            <w:webHidden/>
          </w:rPr>
        </w:r>
        <w:r w:rsidR="00B64349">
          <w:rPr>
            <w:noProof/>
            <w:webHidden/>
          </w:rPr>
          <w:fldChar w:fldCharType="separate"/>
        </w:r>
        <w:r w:rsidR="00B64349">
          <w:rPr>
            <w:noProof/>
            <w:webHidden/>
          </w:rPr>
          <w:t>9</w:t>
        </w:r>
        <w:r w:rsidR="00B64349">
          <w:rPr>
            <w:noProof/>
            <w:webHidden/>
          </w:rPr>
          <w:fldChar w:fldCharType="end"/>
        </w:r>
      </w:hyperlink>
    </w:p>
    <w:p w14:paraId="1C42C75F" w14:textId="12AE2755" w:rsidR="00B64349" w:rsidRDefault="00B64349">
      <w:pPr>
        <w:pStyle w:val="TableofFigures"/>
        <w:tabs>
          <w:tab w:val="right" w:leader="dot" w:pos="9017"/>
        </w:tabs>
        <w:rPr>
          <w:rFonts w:eastAsiaTheme="minorEastAsia" w:cstheme="minorBidi"/>
          <w:b w:val="0"/>
          <w:bCs w:val="0"/>
          <w:noProof/>
          <w:sz w:val="22"/>
          <w:szCs w:val="22"/>
          <w:lang w:val="en-GB" w:eastAsia="en-GB"/>
        </w:rPr>
      </w:pPr>
      <w:hyperlink w:anchor="_Toc512556845" w:history="1">
        <w:r w:rsidRPr="00D77F60">
          <w:rPr>
            <w:rStyle w:val="Hyperlink"/>
            <w:noProof/>
          </w:rPr>
          <w:t>Map  2 – S167 grades</w:t>
        </w:r>
        <w:r>
          <w:rPr>
            <w:noProof/>
            <w:webHidden/>
          </w:rPr>
          <w:tab/>
        </w:r>
        <w:r>
          <w:rPr>
            <w:noProof/>
            <w:webHidden/>
          </w:rPr>
          <w:fldChar w:fldCharType="begin"/>
        </w:r>
        <w:r>
          <w:rPr>
            <w:noProof/>
            <w:webHidden/>
          </w:rPr>
          <w:instrText xml:space="preserve"> PAGEREF _Toc512556845 \h </w:instrText>
        </w:r>
        <w:r>
          <w:rPr>
            <w:noProof/>
            <w:webHidden/>
          </w:rPr>
        </w:r>
        <w:r>
          <w:rPr>
            <w:noProof/>
            <w:webHidden/>
          </w:rPr>
          <w:fldChar w:fldCharType="separate"/>
        </w:r>
        <w:r>
          <w:rPr>
            <w:noProof/>
            <w:webHidden/>
          </w:rPr>
          <w:t>12</w:t>
        </w:r>
        <w:r>
          <w:rPr>
            <w:noProof/>
            <w:webHidden/>
          </w:rPr>
          <w:fldChar w:fldCharType="end"/>
        </w:r>
      </w:hyperlink>
    </w:p>
    <w:p w14:paraId="48E74A0C" w14:textId="790EFE8D" w:rsidR="00B64349" w:rsidRDefault="00B64349">
      <w:pPr>
        <w:pStyle w:val="TableofFigures"/>
        <w:tabs>
          <w:tab w:val="right" w:leader="dot" w:pos="9017"/>
        </w:tabs>
        <w:rPr>
          <w:rFonts w:eastAsiaTheme="minorEastAsia" w:cstheme="minorBidi"/>
          <w:b w:val="0"/>
          <w:bCs w:val="0"/>
          <w:noProof/>
          <w:sz w:val="22"/>
          <w:szCs w:val="22"/>
          <w:lang w:val="en-GB" w:eastAsia="en-GB"/>
        </w:rPr>
      </w:pPr>
      <w:hyperlink w:anchor="_Toc512556846" w:history="1">
        <w:r w:rsidRPr="00D77F60">
          <w:rPr>
            <w:rStyle w:val="Hyperlink"/>
            <w:noProof/>
          </w:rPr>
          <w:t>Map  3 – Changes in Accessible Taxi Numbers between 2015 and 2017</w:t>
        </w:r>
        <w:r>
          <w:rPr>
            <w:noProof/>
            <w:webHidden/>
          </w:rPr>
          <w:tab/>
        </w:r>
        <w:r>
          <w:rPr>
            <w:noProof/>
            <w:webHidden/>
          </w:rPr>
          <w:fldChar w:fldCharType="begin"/>
        </w:r>
        <w:r>
          <w:rPr>
            <w:noProof/>
            <w:webHidden/>
          </w:rPr>
          <w:instrText xml:space="preserve"> PAGEREF _Toc512556846 \h </w:instrText>
        </w:r>
        <w:r>
          <w:rPr>
            <w:noProof/>
            <w:webHidden/>
          </w:rPr>
        </w:r>
        <w:r>
          <w:rPr>
            <w:noProof/>
            <w:webHidden/>
          </w:rPr>
          <w:fldChar w:fldCharType="separate"/>
        </w:r>
        <w:r>
          <w:rPr>
            <w:noProof/>
            <w:webHidden/>
          </w:rPr>
          <w:t>21</w:t>
        </w:r>
        <w:r>
          <w:rPr>
            <w:noProof/>
            <w:webHidden/>
          </w:rPr>
          <w:fldChar w:fldCharType="end"/>
        </w:r>
      </w:hyperlink>
    </w:p>
    <w:p w14:paraId="6C109396" w14:textId="606572AD" w:rsidR="00B64349" w:rsidRDefault="00B64349">
      <w:pPr>
        <w:pStyle w:val="TableofFigures"/>
        <w:tabs>
          <w:tab w:val="right" w:leader="dot" w:pos="9017"/>
        </w:tabs>
        <w:rPr>
          <w:rFonts w:eastAsiaTheme="minorEastAsia" w:cstheme="minorBidi"/>
          <w:b w:val="0"/>
          <w:bCs w:val="0"/>
          <w:noProof/>
          <w:sz w:val="22"/>
          <w:szCs w:val="22"/>
          <w:lang w:val="en-GB" w:eastAsia="en-GB"/>
        </w:rPr>
      </w:pPr>
      <w:hyperlink w:anchor="_Toc512556847" w:history="1">
        <w:r w:rsidRPr="00D77F60">
          <w:rPr>
            <w:rStyle w:val="Hyperlink"/>
            <w:noProof/>
          </w:rPr>
          <w:t>Map  4 – Change in Accessible Taxis per 1,000 population between 2015 and 2017</w:t>
        </w:r>
        <w:r>
          <w:rPr>
            <w:noProof/>
            <w:webHidden/>
          </w:rPr>
          <w:tab/>
        </w:r>
        <w:r>
          <w:rPr>
            <w:noProof/>
            <w:webHidden/>
          </w:rPr>
          <w:fldChar w:fldCharType="begin"/>
        </w:r>
        <w:r>
          <w:rPr>
            <w:noProof/>
            <w:webHidden/>
          </w:rPr>
          <w:instrText xml:space="preserve"> PAGEREF _Toc512556847 \h </w:instrText>
        </w:r>
        <w:r>
          <w:rPr>
            <w:noProof/>
            <w:webHidden/>
          </w:rPr>
        </w:r>
        <w:r>
          <w:rPr>
            <w:noProof/>
            <w:webHidden/>
          </w:rPr>
          <w:fldChar w:fldCharType="separate"/>
        </w:r>
        <w:r>
          <w:rPr>
            <w:noProof/>
            <w:webHidden/>
          </w:rPr>
          <w:t>22</w:t>
        </w:r>
        <w:r>
          <w:rPr>
            <w:noProof/>
            <w:webHidden/>
          </w:rPr>
          <w:fldChar w:fldCharType="end"/>
        </w:r>
      </w:hyperlink>
    </w:p>
    <w:p w14:paraId="52FACA8A" w14:textId="11EDD7E4" w:rsidR="00B64349" w:rsidRDefault="00B64349">
      <w:pPr>
        <w:pStyle w:val="TableofFigures"/>
        <w:tabs>
          <w:tab w:val="right" w:leader="dot" w:pos="9017"/>
        </w:tabs>
        <w:rPr>
          <w:rFonts w:eastAsiaTheme="minorEastAsia" w:cstheme="minorBidi"/>
          <w:b w:val="0"/>
          <w:bCs w:val="0"/>
          <w:noProof/>
          <w:sz w:val="22"/>
          <w:szCs w:val="22"/>
          <w:lang w:val="en-GB" w:eastAsia="en-GB"/>
        </w:rPr>
      </w:pPr>
      <w:hyperlink w:anchor="_Toc512556848" w:history="1">
        <w:r w:rsidRPr="00D77F60">
          <w:rPr>
            <w:rStyle w:val="Hyperlink"/>
            <w:noProof/>
          </w:rPr>
          <w:t>Map  5 – Accessible Taxis in each licensing area, 2017</w:t>
        </w:r>
        <w:r>
          <w:rPr>
            <w:noProof/>
            <w:webHidden/>
          </w:rPr>
          <w:tab/>
        </w:r>
        <w:r>
          <w:rPr>
            <w:noProof/>
            <w:webHidden/>
          </w:rPr>
          <w:fldChar w:fldCharType="begin"/>
        </w:r>
        <w:r>
          <w:rPr>
            <w:noProof/>
            <w:webHidden/>
          </w:rPr>
          <w:instrText xml:space="preserve"> PAGEREF _Toc512556848 \h </w:instrText>
        </w:r>
        <w:r>
          <w:rPr>
            <w:noProof/>
            <w:webHidden/>
          </w:rPr>
        </w:r>
        <w:r>
          <w:rPr>
            <w:noProof/>
            <w:webHidden/>
          </w:rPr>
          <w:fldChar w:fldCharType="separate"/>
        </w:r>
        <w:r>
          <w:rPr>
            <w:noProof/>
            <w:webHidden/>
          </w:rPr>
          <w:t>24</w:t>
        </w:r>
        <w:r>
          <w:rPr>
            <w:noProof/>
            <w:webHidden/>
          </w:rPr>
          <w:fldChar w:fldCharType="end"/>
        </w:r>
      </w:hyperlink>
    </w:p>
    <w:p w14:paraId="7A390372" w14:textId="6BDA4A46" w:rsidR="00B64349" w:rsidRDefault="00B64349">
      <w:pPr>
        <w:pStyle w:val="TableofFigures"/>
        <w:tabs>
          <w:tab w:val="right" w:leader="dot" w:pos="9017"/>
        </w:tabs>
        <w:rPr>
          <w:rFonts w:eastAsiaTheme="minorEastAsia" w:cstheme="minorBidi"/>
          <w:b w:val="0"/>
          <w:bCs w:val="0"/>
          <w:noProof/>
          <w:sz w:val="22"/>
          <w:szCs w:val="22"/>
          <w:lang w:val="en-GB" w:eastAsia="en-GB"/>
        </w:rPr>
      </w:pPr>
      <w:hyperlink w:anchor="_Toc512556849" w:history="1">
        <w:r w:rsidRPr="00D77F60">
          <w:rPr>
            <w:rStyle w:val="Hyperlink"/>
            <w:noProof/>
          </w:rPr>
          <w:t>Map  6 – Accessible Taxis per 1,000 population, 2017</w:t>
        </w:r>
        <w:r>
          <w:rPr>
            <w:noProof/>
            <w:webHidden/>
          </w:rPr>
          <w:tab/>
        </w:r>
        <w:r>
          <w:rPr>
            <w:noProof/>
            <w:webHidden/>
          </w:rPr>
          <w:fldChar w:fldCharType="begin"/>
        </w:r>
        <w:r>
          <w:rPr>
            <w:noProof/>
            <w:webHidden/>
          </w:rPr>
          <w:instrText xml:space="preserve"> PAGEREF _Toc512556849 \h </w:instrText>
        </w:r>
        <w:r>
          <w:rPr>
            <w:noProof/>
            <w:webHidden/>
          </w:rPr>
        </w:r>
        <w:r>
          <w:rPr>
            <w:noProof/>
            <w:webHidden/>
          </w:rPr>
          <w:fldChar w:fldCharType="separate"/>
        </w:r>
        <w:r>
          <w:rPr>
            <w:noProof/>
            <w:webHidden/>
          </w:rPr>
          <w:t>25</w:t>
        </w:r>
        <w:r>
          <w:rPr>
            <w:noProof/>
            <w:webHidden/>
          </w:rPr>
          <w:fldChar w:fldCharType="end"/>
        </w:r>
      </w:hyperlink>
    </w:p>
    <w:p w14:paraId="2101E951" w14:textId="354285FA" w:rsidR="007865A5" w:rsidRPr="007865A5" w:rsidRDefault="007865A5" w:rsidP="007865A5">
      <w:r>
        <w:fldChar w:fldCharType="end"/>
      </w:r>
    </w:p>
    <w:p w14:paraId="189560A7" w14:textId="2C83BF66" w:rsidR="00C00560" w:rsidRPr="00C00560" w:rsidRDefault="00C00560" w:rsidP="00C00560"/>
    <w:p w14:paraId="1D2DBFC6" w14:textId="77777777" w:rsidR="006430C6" w:rsidRDefault="003954F6" w:rsidP="003954F6">
      <w:pPr>
        <w:sectPr w:rsidR="006430C6" w:rsidSect="0080636E">
          <w:footnotePr>
            <w:pos w:val="beneathText"/>
          </w:footnotePr>
          <w:pgSz w:w="11907" w:h="16840" w:code="9"/>
          <w:pgMar w:top="1440" w:right="1440" w:bottom="1440" w:left="1440" w:header="567" w:footer="645" w:gutter="0"/>
          <w:cols w:space="720"/>
          <w:noEndnote/>
          <w:docGrid w:linePitch="360"/>
        </w:sectPr>
      </w:pPr>
      <w:r>
        <w:br w:type="page"/>
      </w:r>
    </w:p>
    <w:p w14:paraId="46B7E944" w14:textId="77CC6E26" w:rsidR="00B95A2C" w:rsidRPr="00EA751A" w:rsidRDefault="003954F6" w:rsidP="00176B2F">
      <w:pPr>
        <w:pStyle w:val="Heading2"/>
        <w:numPr>
          <w:ilvl w:val="0"/>
          <w:numId w:val="0"/>
        </w:numPr>
        <w:spacing w:before="120"/>
        <w:ind w:left="720"/>
        <w:rPr>
          <w:color w:val="BFBFBF" w:themeColor="background1" w:themeShade="BF"/>
        </w:rPr>
      </w:pPr>
      <w:bookmarkStart w:id="200" w:name="_Toc488088810"/>
      <w:bookmarkStart w:id="201" w:name="_Toc488093198"/>
      <w:bookmarkStart w:id="202" w:name="_Toc512556941"/>
      <w:r>
        <w:lastRenderedPageBreak/>
        <w:t xml:space="preserve">Appendix </w:t>
      </w:r>
      <w:r w:rsidR="00CD58BC">
        <w:t>5</w:t>
      </w:r>
      <w:r>
        <w:t xml:space="preserve">: </w:t>
      </w:r>
      <w:bookmarkEnd w:id="200"/>
      <w:bookmarkEnd w:id="201"/>
      <w:r w:rsidR="00F84034">
        <w:t>References</w:t>
      </w:r>
      <w:bookmarkEnd w:id="202"/>
    </w:p>
    <w:sectPr w:rsidR="00B95A2C" w:rsidRPr="00EA751A" w:rsidSect="006430C6">
      <w:footnotePr>
        <w:pos w:val="beneathText"/>
      </w:footnotePr>
      <w:pgSz w:w="11907" w:h="16840" w:code="9"/>
      <w:pgMar w:top="1440" w:right="1440" w:bottom="1276" w:left="1440" w:header="567" w:footer="0"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40CB2BD" w14:textId="77777777" w:rsidR="0094576E" w:rsidRDefault="0094576E">
      <w:pPr>
        <w:spacing w:line="240" w:lineRule="auto"/>
      </w:pPr>
      <w:r>
        <w:separator/>
      </w:r>
    </w:p>
    <w:p w14:paraId="1631CA5D" w14:textId="77777777" w:rsidR="0094576E" w:rsidRDefault="0094576E"/>
  </w:endnote>
  <w:endnote w:type="continuationSeparator" w:id="0">
    <w:p w14:paraId="4F437516" w14:textId="77777777" w:rsidR="0094576E" w:rsidRDefault="0094576E">
      <w:pPr>
        <w:spacing w:line="240" w:lineRule="auto"/>
      </w:pPr>
      <w:r>
        <w:continuationSeparator/>
      </w:r>
    </w:p>
    <w:p w14:paraId="69EFAB40" w14:textId="77777777" w:rsidR="0094576E" w:rsidRDefault="0094576E"/>
  </w:endnote>
  <w:endnote w:id="1">
    <w:p w14:paraId="15CD79D6" w14:textId="3433FFBC" w:rsidR="00D660E4" w:rsidRPr="0090045E" w:rsidRDefault="00D660E4">
      <w:pPr>
        <w:pStyle w:val="EndnoteText"/>
        <w:rPr>
          <w:lang w:val="en-GB"/>
        </w:rPr>
      </w:pPr>
      <w:r>
        <w:rPr>
          <w:rStyle w:val="EndnoteReference"/>
        </w:rPr>
        <w:endnoteRef/>
      </w:r>
      <w:r>
        <w:t xml:space="preserve"> </w:t>
      </w:r>
      <w:r>
        <w:rPr>
          <w:lang w:val="en-GB"/>
        </w:rPr>
        <w:t xml:space="preserve">Doug Paulley. (2017) </w:t>
      </w:r>
      <w:r w:rsidRPr="0090045E">
        <w:rPr>
          <w:i/>
          <w:lang w:val="en-GB"/>
        </w:rPr>
        <w:t>Licensing authorities’ approach to the Equality Act 2010 provisions on taxi wheelchair discrimination</w:t>
      </w:r>
      <w:r>
        <w:rPr>
          <w:i/>
          <w:lang w:val="en-GB"/>
        </w:rPr>
        <w:t xml:space="preserve"> </w:t>
      </w:r>
      <w:r>
        <w:rPr>
          <w:lang w:val="en-GB"/>
        </w:rPr>
        <w:t xml:space="preserve">[pdf} Available at </w:t>
      </w:r>
      <w:r w:rsidRPr="0090045E">
        <w:rPr>
          <w:lang w:val="en-GB"/>
        </w:rPr>
        <w:t>https://www.kingqueen.org.uk/wp-content/uploads/2017/08/Licensing-authorities%E2%80%99-approach-to-the-Equality-Act-2010-provisions-on-taxi-wheelchair-discrimination.pdf</w:t>
      </w:r>
      <w:r>
        <w:rPr>
          <w:lang w:val="en-GB"/>
        </w:rPr>
        <w:t xml:space="preserve"> [Accessed: 24 January 2018]</w:t>
      </w:r>
    </w:p>
  </w:endnote>
  <w:endnote w:id="2">
    <w:p w14:paraId="53279754" w14:textId="77777777" w:rsidR="00D660E4" w:rsidRDefault="00D660E4" w:rsidP="00183D29">
      <w:pPr>
        <w:pStyle w:val="EndnoteText"/>
        <w:contextualSpacing/>
        <w:rPr>
          <w:i/>
        </w:rPr>
      </w:pPr>
      <w:r>
        <w:rPr>
          <w:rStyle w:val="EndnoteReference"/>
        </w:rPr>
        <w:endnoteRef/>
      </w:r>
      <w:r>
        <w:t xml:space="preserve"> Department for Transport. (2017) </w:t>
      </w:r>
      <w:r w:rsidRPr="00424AD0">
        <w:rPr>
          <w:i/>
        </w:rPr>
        <w:t>Access for wheelchair users to Taxis and Private Hire Vehicles: Statutory Guidance</w:t>
      </w:r>
      <w:r>
        <w:t xml:space="preserve"> [pdf] Available at: </w:t>
      </w:r>
    </w:p>
    <w:p w14:paraId="30E559F8" w14:textId="770EC82D" w:rsidR="00D660E4" w:rsidRDefault="00D660E4" w:rsidP="00183D29">
      <w:pPr>
        <w:pStyle w:val="EndnoteText"/>
        <w:contextualSpacing/>
      </w:pPr>
      <w:r w:rsidRPr="00183D29">
        <w:t>https://www.gov.uk/government/uploads/system/uploads/attachment_data/file/593350/access-for-wheelchair-users-taxis-and-private-hire-vehicles.pdf</w:t>
      </w:r>
      <w:r>
        <w:t xml:space="preserve"> [Accessed: 24 January 2018]</w:t>
      </w:r>
    </w:p>
    <w:p w14:paraId="69B93A82" w14:textId="77777777" w:rsidR="00D660E4" w:rsidRPr="00183D29" w:rsidRDefault="00D660E4" w:rsidP="00183D29">
      <w:pPr>
        <w:pStyle w:val="EndnoteText"/>
        <w:contextualSpacing/>
        <w:rPr>
          <w:lang w:val="en-GB"/>
        </w:rPr>
      </w:pPr>
    </w:p>
  </w:endnote>
  <w:endnote w:id="3">
    <w:p w14:paraId="614CF0AE" w14:textId="77777777" w:rsidR="00D660E4" w:rsidRPr="00B95A2C" w:rsidRDefault="00D660E4" w:rsidP="005F1CAF">
      <w:pPr>
        <w:pStyle w:val="EndnoteText"/>
        <w:jc w:val="left"/>
        <w:rPr>
          <w:lang w:val="en-GB"/>
        </w:rPr>
      </w:pPr>
      <w:r>
        <w:rPr>
          <w:rStyle w:val="EndnoteReference"/>
        </w:rPr>
        <w:endnoteRef/>
      </w:r>
      <w:r w:rsidRPr="00753BE5">
        <w:rPr>
          <w:i/>
        </w:rPr>
        <w:t>The Public Service Vehicles (Conduct of Drivers, Inspectors, Conductors and Passengers) (Amendment) Regulations 2002</w:t>
      </w:r>
      <w:r>
        <w:t>. Available at:</w:t>
      </w:r>
      <w:r w:rsidRPr="00753BE5">
        <w:t xml:space="preserve"> http://www.legislation.gov.uk/uksi/2002/1724/contents/made [Accessed: 13 July 2017]</w:t>
      </w:r>
    </w:p>
  </w:endnote>
  <w:endnote w:id="4">
    <w:p w14:paraId="650E06EA" w14:textId="63E9CC3D" w:rsidR="00D660E4" w:rsidRPr="006433A5" w:rsidRDefault="00D660E4">
      <w:pPr>
        <w:pStyle w:val="EndnoteText"/>
        <w:rPr>
          <w:lang w:val="en-GB"/>
        </w:rPr>
      </w:pPr>
      <w:r>
        <w:rPr>
          <w:rStyle w:val="EndnoteReference"/>
        </w:rPr>
        <w:endnoteRef/>
      </w:r>
      <w:r>
        <w:t xml:space="preserve"> </w:t>
      </w:r>
      <w:r>
        <w:rPr>
          <w:lang w:val="en-GB"/>
        </w:rPr>
        <w:t xml:space="preserve">Department for Transport (2017): </w:t>
      </w:r>
      <w:r w:rsidRPr="006433A5">
        <w:rPr>
          <w:i/>
          <w:lang w:val="en-GB"/>
        </w:rPr>
        <w:t>Taxi and private hire vehicles statistics, England and Wales: 2017</w:t>
      </w:r>
      <w:r>
        <w:rPr>
          <w:lang w:val="en-GB"/>
        </w:rPr>
        <w:t>.</w:t>
      </w:r>
      <w:r>
        <w:rPr>
          <w:i/>
          <w:lang w:val="en-GB"/>
        </w:rPr>
        <w:t xml:space="preserve"> </w:t>
      </w:r>
      <w:r>
        <w:rPr>
          <w:lang w:val="en-GB"/>
        </w:rPr>
        <w:t xml:space="preserve">Available at: </w:t>
      </w:r>
      <w:r w:rsidRPr="006433A5">
        <w:rPr>
          <w:lang w:val="en-GB"/>
        </w:rPr>
        <w:t>https://www.gov.uk/government/statistics/taxi-and-private-hire-vehicles-statistics-england-2017</w:t>
      </w:r>
      <w:r>
        <w:rPr>
          <w:lang w:val="en-GB"/>
        </w:rPr>
        <w:t xml:space="preserve"> [Accessed: 22</w:t>
      </w:r>
      <w:r w:rsidRPr="006433A5">
        <w:rPr>
          <w:vertAlign w:val="superscript"/>
          <w:lang w:val="en-GB"/>
        </w:rPr>
        <w:t>nd</w:t>
      </w:r>
      <w:r>
        <w:rPr>
          <w:lang w:val="en-GB"/>
        </w:rPr>
        <w:t xml:space="preserve"> January 2018]</w:t>
      </w:r>
    </w:p>
  </w:endnote>
  <w:endnote w:id="5">
    <w:p w14:paraId="0E49ECD8" w14:textId="1B7AD3EA" w:rsidR="00D660E4" w:rsidRPr="00386E1A" w:rsidRDefault="00D660E4" w:rsidP="00386E1A">
      <w:pPr>
        <w:pStyle w:val="EndnoteText"/>
        <w:jc w:val="left"/>
        <w:rPr>
          <w:lang w:val="en-GB"/>
        </w:rPr>
      </w:pPr>
      <w:r>
        <w:rPr>
          <w:rStyle w:val="EndnoteReference"/>
        </w:rPr>
        <w:endnoteRef/>
      </w:r>
      <w:r>
        <w:t xml:space="preserve"> Doug Paulley (2017) </w:t>
      </w:r>
      <w:r w:rsidRPr="00794951">
        <w:rPr>
          <w:i/>
        </w:rPr>
        <w:t>Licensing authorities’ approach to the Equality Act 2010 provisions on taxi wheelchair discrimination</w:t>
      </w:r>
      <w:r>
        <w:t xml:space="preserve">. [.xlsx] Available at: </w:t>
      </w:r>
      <w:r w:rsidRPr="00386E1A">
        <w:t>https://www.kingqueen.org.uk/</w:t>
      </w:r>
      <w:r>
        <w:t>s167 [Accessed: 13 July 2017]</w:t>
      </w:r>
    </w:p>
  </w:endnote>
  <w:endnote w:id="6">
    <w:p w14:paraId="47BB9AC7" w14:textId="5B5BC7F4" w:rsidR="00D660E4" w:rsidRPr="00FD1BA6" w:rsidRDefault="00D660E4" w:rsidP="00FD1BA6">
      <w:pPr>
        <w:pStyle w:val="EndnoteText"/>
        <w:jc w:val="left"/>
        <w:rPr>
          <w:lang w:val="en-GB"/>
        </w:rPr>
      </w:pPr>
      <w:r>
        <w:rPr>
          <w:rStyle w:val="EndnoteReference"/>
        </w:rPr>
        <w:endnoteRef/>
      </w:r>
      <w:r>
        <w:t xml:space="preserve"> </w:t>
      </w:r>
      <w:r>
        <w:rPr>
          <w:lang w:val="en-GB"/>
        </w:rPr>
        <w:t xml:space="preserve">Department for Transport (2018) </w:t>
      </w:r>
      <w:r>
        <w:rPr>
          <w:i/>
          <w:lang w:val="en-GB"/>
        </w:rPr>
        <w:t xml:space="preserve">Response to Freedom of Information Request: </w:t>
      </w:r>
      <w:r w:rsidRPr="00FD1BA6">
        <w:rPr>
          <w:i/>
          <w:lang w:val="en-GB"/>
        </w:rPr>
        <w:t>Nottingham's "S167 list" of taxis</w:t>
      </w:r>
      <w:r>
        <w:rPr>
          <w:i/>
          <w:lang w:val="en-GB"/>
        </w:rPr>
        <w:t xml:space="preserve">” </w:t>
      </w:r>
      <w:r>
        <w:rPr>
          <w:lang w:val="en-GB"/>
        </w:rPr>
        <w:t xml:space="preserve">Available at: </w:t>
      </w:r>
      <w:r w:rsidRPr="00FD1BA6">
        <w:rPr>
          <w:lang w:val="en-GB"/>
        </w:rPr>
        <w:t>https://www.whatdotheyknow.com/request/nottinghams_s167_list_of_taxis</w:t>
      </w:r>
      <w:r>
        <w:rPr>
          <w:lang w:val="en-GB"/>
        </w:rPr>
        <w:t xml:space="preserve"> [Accessed: 11 March 2018]</w:t>
      </w:r>
    </w:p>
  </w:endnote>
  <w:endnote w:id="7">
    <w:p w14:paraId="695C6273" w14:textId="2C9E266B" w:rsidR="00D660E4" w:rsidRPr="00CE1149" w:rsidRDefault="00D660E4" w:rsidP="00CE1149">
      <w:pPr>
        <w:pStyle w:val="EndnoteText"/>
        <w:jc w:val="left"/>
        <w:rPr>
          <w:lang w:val="en-GB"/>
        </w:rPr>
      </w:pPr>
      <w:r>
        <w:rPr>
          <w:rStyle w:val="EndnoteReference"/>
        </w:rPr>
        <w:endnoteRef/>
      </w:r>
      <w:r>
        <w:t xml:space="preserve"> </w:t>
      </w:r>
      <w:r>
        <w:rPr>
          <w:lang w:val="en-GB"/>
        </w:rPr>
        <w:t xml:space="preserve">City of Edinburgh Council (2017): </w:t>
      </w:r>
      <w:r>
        <w:rPr>
          <w:i/>
          <w:lang w:val="en-GB"/>
        </w:rPr>
        <w:t>Response to Freedom of Information Request: Lists of Accessible Taxis under S167 Equality Act 2010</w:t>
      </w:r>
      <w:r>
        <w:rPr>
          <w:lang w:val="en-GB"/>
        </w:rPr>
        <w:t xml:space="preserve"> Available at: </w:t>
      </w:r>
      <w:r w:rsidRPr="00CE1149">
        <w:rPr>
          <w:lang w:val="en-GB"/>
        </w:rPr>
        <w:t>https://www.whatdotheyknow.com/request/s167_list_of_accessible_taxis_up_220</w:t>
      </w:r>
      <w:r>
        <w:rPr>
          <w:lang w:val="en-GB"/>
        </w:rPr>
        <w:t xml:space="preserve"> [Accessed 11th March 2018]</w:t>
      </w:r>
    </w:p>
  </w:endnote>
  <w:endnote w:id="8">
    <w:p w14:paraId="26EE0748" w14:textId="3B24176D" w:rsidR="00D660E4" w:rsidRPr="000911DE" w:rsidRDefault="00D660E4" w:rsidP="000911DE">
      <w:pPr>
        <w:pStyle w:val="EndnoteText"/>
        <w:jc w:val="left"/>
        <w:rPr>
          <w:lang w:val="en-GB"/>
        </w:rPr>
      </w:pPr>
      <w:r>
        <w:rPr>
          <w:rStyle w:val="EndnoteReference"/>
        </w:rPr>
        <w:endnoteRef/>
      </w:r>
      <w:r>
        <w:t xml:space="preserve"> </w:t>
      </w:r>
      <w:r>
        <w:rPr>
          <w:lang w:val="en-GB"/>
        </w:rPr>
        <w:t xml:space="preserve">Transport for London (2017): </w:t>
      </w:r>
      <w:r>
        <w:rPr>
          <w:i/>
          <w:lang w:val="en-GB"/>
        </w:rPr>
        <w:t>Response to Freedom of Information Request</w:t>
      </w:r>
      <w:r w:rsidRPr="000911DE">
        <w:t xml:space="preserve"> </w:t>
      </w:r>
      <w:r w:rsidRPr="000911DE">
        <w:rPr>
          <w:i/>
          <w:lang w:val="en-GB"/>
        </w:rPr>
        <w:t>List of Accessible Taxis: update after 6 months - existing list</w:t>
      </w:r>
      <w:r>
        <w:rPr>
          <w:lang w:val="en-GB"/>
        </w:rPr>
        <w:t xml:space="preserve"> Available at: </w:t>
      </w:r>
      <w:r w:rsidRPr="000911DE">
        <w:rPr>
          <w:lang w:val="en-GB"/>
        </w:rPr>
        <w:t>https://www.whatdotheyknow.com/request/s167_list_of_accessible_taxis_up_60</w:t>
      </w:r>
      <w:r>
        <w:rPr>
          <w:lang w:val="en-GB"/>
        </w:rPr>
        <w:t xml:space="preserve"> [Accessed 11th March 2018]</w:t>
      </w:r>
    </w:p>
  </w:endnote>
  <w:endnote w:id="9">
    <w:p w14:paraId="054A40EE" w14:textId="7472A0F1" w:rsidR="00D660E4" w:rsidRPr="009966EF" w:rsidRDefault="00D660E4">
      <w:pPr>
        <w:pStyle w:val="EndnoteText"/>
        <w:rPr>
          <w:lang w:val="en-GB"/>
        </w:rPr>
      </w:pPr>
      <w:r>
        <w:rPr>
          <w:rStyle w:val="EndnoteReference"/>
        </w:rPr>
        <w:endnoteRef/>
      </w:r>
      <w:r>
        <w:t xml:space="preserve"> </w:t>
      </w:r>
      <w:r>
        <w:rPr>
          <w:lang w:val="en-GB"/>
        </w:rPr>
        <w:t xml:space="preserve">South Bucks District Council (2017): </w:t>
      </w:r>
      <w:r>
        <w:rPr>
          <w:i/>
          <w:lang w:val="en-GB"/>
        </w:rPr>
        <w:t>L</w:t>
      </w:r>
      <w:r w:rsidRPr="009966EF">
        <w:rPr>
          <w:i/>
          <w:lang w:val="en-GB"/>
        </w:rPr>
        <w:t>ist of vehicles designated under section 167 of the Equality Act 2010</w:t>
      </w:r>
      <w:r>
        <w:rPr>
          <w:i/>
          <w:lang w:val="en-GB"/>
        </w:rPr>
        <w:t xml:space="preserve"> </w:t>
      </w:r>
      <w:r>
        <w:rPr>
          <w:lang w:val="en-GB"/>
        </w:rPr>
        <w:t xml:space="preserve">Available at: </w:t>
      </w:r>
      <w:r w:rsidRPr="009966EF">
        <w:rPr>
          <w:lang w:val="en-GB"/>
        </w:rPr>
        <w:t>http://www.southbucks.gov.uk/media/11425/Wheelchair-Accessible-Vehicles-List/pdf/South_Bucks_District_Council_Wheelchair_Accessible_Vehicles.pdf</w:t>
      </w:r>
      <w:r>
        <w:rPr>
          <w:lang w:val="en-GB"/>
        </w:rPr>
        <w:t xml:space="preserve"> [Accessed 11th March 2018]</w:t>
      </w:r>
    </w:p>
  </w:endnote>
  <w:endnote w:id="10">
    <w:p w14:paraId="450FC028" w14:textId="5AB0086B" w:rsidR="00D660E4" w:rsidRPr="00EF3D81" w:rsidRDefault="00D660E4">
      <w:pPr>
        <w:pStyle w:val="EndnoteText"/>
        <w:rPr>
          <w:lang w:val="en-GB"/>
        </w:rPr>
      </w:pPr>
      <w:r>
        <w:rPr>
          <w:rStyle w:val="EndnoteReference"/>
        </w:rPr>
        <w:endnoteRef/>
      </w:r>
      <w:r>
        <w:t xml:space="preserve"> </w:t>
      </w:r>
      <w:r>
        <w:rPr>
          <w:lang w:val="en-GB"/>
        </w:rPr>
        <w:t xml:space="preserve">Andrew Jones MP (2015) </w:t>
      </w:r>
      <w:r w:rsidRPr="00EC13C2">
        <w:rPr>
          <w:i/>
          <w:lang w:val="en-GB"/>
        </w:rPr>
        <w:t>Oral evidence - Equality Act 2010 and Disability - 15 Dec 2015</w:t>
      </w:r>
      <w:r>
        <w:rPr>
          <w:lang w:val="en-GB"/>
        </w:rPr>
        <w:t xml:space="preserve">. Available at: </w:t>
      </w:r>
      <w:r w:rsidRPr="00EC13C2">
        <w:rPr>
          <w:lang w:val="en-GB"/>
        </w:rPr>
        <w:t>http://data.parliament.uk/writtenevidence/committeeevidence.svc/evidencedocument/equality-act-2010-and-disability-committee/equality-act-2010-and-disability/oral/26351.html</w:t>
      </w:r>
      <w:r>
        <w:rPr>
          <w:lang w:val="en-GB"/>
        </w:rPr>
        <w:t>. [Accessed: 15 July 2017]</w:t>
      </w:r>
    </w:p>
  </w:endnote>
  <w:endnote w:id="11">
    <w:p w14:paraId="6DFE1049" w14:textId="60B27444" w:rsidR="00D660E4" w:rsidRPr="002D6005" w:rsidRDefault="00D660E4" w:rsidP="00CD58BC">
      <w:pPr>
        <w:pStyle w:val="EndnoteText"/>
        <w:jc w:val="left"/>
        <w:rPr>
          <w:lang w:val="en-GB"/>
        </w:rPr>
      </w:pPr>
      <w:r>
        <w:rPr>
          <w:rStyle w:val="EndnoteReference"/>
        </w:rPr>
        <w:endnoteRef/>
      </w:r>
      <w:r>
        <w:t xml:space="preserve"> </w:t>
      </w:r>
      <w:r>
        <w:rPr>
          <w:lang w:val="en-GB"/>
        </w:rPr>
        <w:t xml:space="preserve">Department for Transport (2017): </w:t>
      </w:r>
      <w:r w:rsidRPr="00CD58BC">
        <w:rPr>
          <w:i/>
          <w:lang w:val="en-GB"/>
        </w:rPr>
        <w:t>Emails subject “Access to taxis/PHVs to wheelchair users: S165 exemption notices”</w:t>
      </w:r>
      <w:r>
        <w:rPr>
          <w:lang w:val="en-GB"/>
        </w:rPr>
        <w:t xml:space="preserve">. Available at </w:t>
      </w:r>
      <w:r w:rsidRPr="00CD58BC">
        <w:rPr>
          <w:lang w:val="en-GB"/>
        </w:rPr>
        <w:t>https://www.whatdotheyknow.com/request/nottinghams_s167_list_of_taxis</w:t>
      </w:r>
      <w:r>
        <w:rPr>
          <w:lang w:val="en-GB"/>
        </w:rPr>
        <w:t xml:space="preserve"> Annex 5 and 6. [Accessed: 12</w:t>
      </w:r>
      <w:r w:rsidRPr="00CD58BC">
        <w:rPr>
          <w:vertAlign w:val="superscript"/>
          <w:lang w:val="en-GB"/>
        </w:rPr>
        <w:t>th</w:t>
      </w:r>
      <w:r>
        <w:rPr>
          <w:lang w:val="en-GB"/>
        </w:rPr>
        <w:t xml:space="preserve"> March 2018.]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altName w:val="Calibri"/>
    <w:panose1 w:val="020B0503020204020204"/>
    <w:charset w:val="00"/>
    <w:family w:val="swiss"/>
    <w:pitch w:val="variable"/>
    <w:sig w:usb0="A00002EF" w:usb1="4000A44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altName w:val="Calibr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90341009"/>
      <w:docPartObj>
        <w:docPartGallery w:val="Page Numbers (Bottom of Page)"/>
        <w:docPartUnique/>
      </w:docPartObj>
    </w:sdtPr>
    <w:sdtEndPr/>
    <w:sdtContent>
      <w:sdt>
        <w:sdtPr>
          <w:id w:val="1615248323"/>
          <w:docPartObj>
            <w:docPartGallery w:val="Page Numbers (Top of Page)"/>
            <w:docPartUnique/>
          </w:docPartObj>
        </w:sdtPr>
        <w:sdtEndPr/>
        <w:sdtContent>
          <w:sdt>
            <w:sdtPr>
              <w:id w:val="1728636285"/>
              <w:docPartObj>
                <w:docPartGallery w:val="Page Numbers (Top of Page)"/>
                <w:docPartUnique/>
              </w:docPartObj>
            </w:sdtPr>
            <w:sdtEndPr/>
            <w:sdtContent>
              <w:p w14:paraId="29DE492C" w14:textId="1645E32F" w:rsidR="00D660E4" w:rsidRPr="0080636E" w:rsidRDefault="00D660E4" w:rsidP="0080636E">
                <w:pPr>
                  <w:pStyle w:val="Footer"/>
                  <w:jc w:val="center"/>
                  <w:rPr>
                    <w:i/>
                  </w:rPr>
                </w:pPr>
                <w:r>
                  <w:t xml:space="preserve">Page </w:t>
                </w:r>
                <w:r>
                  <w:rPr>
                    <w:b/>
                    <w:bCs/>
                    <w:szCs w:val="24"/>
                  </w:rPr>
                  <w:fldChar w:fldCharType="begin"/>
                </w:r>
                <w:r>
                  <w:rPr>
                    <w:b/>
                    <w:bCs/>
                  </w:rPr>
                  <w:instrText xml:space="preserve"> PAGE </w:instrText>
                </w:r>
                <w:r>
                  <w:rPr>
                    <w:b/>
                    <w:bCs/>
                    <w:szCs w:val="24"/>
                  </w:rPr>
                  <w:fldChar w:fldCharType="separate"/>
                </w:r>
                <w:r>
                  <w:rPr>
                    <w:b/>
                    <w:bCs/>
                    <w:szCs w:val="24"/>
                  </w:rPr>
                  <w:t>1</w:t>
                </w:r>
                <w:r>
                  <w:rPr>
                    <w:b/>
                    <w:bCs/>
                    <w:szCs w:val="24"/>
                  </w:rPr>
                  <w:fldChar w:fldCharType="end"/>
                </w:r>
                <w:r>
                  <w:t xml:space="preserve"> of </w:t>
                </w:r>
                <w:r>
                  <w:rPr>
                    <w:b/>
                    <w:bCs/>
                    <w:szCs w:val="24"/>
                  </w:rPr>
                  <w:fldChar w:fldCharType="begin"/>
                </w:r>
                <w:r>
                  <w:rPr>
                    <w:b/>
                    <w:bCs/>
                    <w:szCs w:val="24"/>
                  </w:rPr>
                  <w:instrText xml:space="preserve"> =</w:instrText>
                </w:r>
                <w:r>
                  <w:rPr>
                    <w:b/>
                    <w:bCs/>
                    <w:szCs w:val="24"/>
                  </w:rPr>
                  <w:fldChar w:fldCharType="begin"/>
                </w:r>
                <w:r>
                  <w:rPr>
                    <w:b/>
                    <w:bCs/>
                    <w:szCs w:val="24"/>
                  </w:rPr>
                  <w:instrText xml:space="preserve"> NUMPAGES </w:instrText>
                </w:r>
                <w:r>
                  <w:rPr>
                    <w:b/>
                    <w:bCs/>
                    <w:szCs w:val="24"/>
                  </w:rPr>
                  <w:fldChar w:fldCharType="separate"/>
                </w:r>
                <w:r w:rsidR="009961ED">
                  <w:rPr>
                    <w:b/>
                    <w:bCs/>
                    <w:noProof/>
                    <w:szCs w:val="24"/>
                  </w:rPr>
                  <w:instrText>42</w:instrText>
                </w:r>
                <w:r>
                  <w:rPr>
                    <w:b/>
                    <w:bCs/>
                    <w:szCs w:val="24"/>
                  </w:rPr>
                  <w:fldChar w:fldCharType="end"/>
                </w:r>
                <w:r>
                  <w:rPr>
                    <w:b/>
                    <w:bCs/>
                    <w:szCs w:val="24"/>
                  </w:rPr>
                  <w:instrText xml:space="preserve">-1 </w:instrText>
                </w:r>
                <w:r w:rsidR="0099156B">
                  <w:rPr>
                    <w:b/>
                    <w:bCs/>
                    <w:szCs w:val="24"/>
                  </w:rPr>
                  <w:fldChar w:fldCharType="separate"/>
                </w:r>
                <w:r w:rsidR="009961ED">
                  <w:rPr>
                    <w:b/>
                    <w:bCs/>
                    <w:noProof/>
                    <w:szCs w:val="24"/>
                  </w:rPr>
                  <w:t>41</w:t>
                </w:r>
                <w:r>
                  <w:rPr>
                    <w:b/>
                    <w:bCs/>
                    <w:szCs w:val="24"/>
                  </w:rPr>
                  <w:fldChar w:fldCharType="end"/>
                </w:r>
              </w:p>
            </w:sdtContent>
          </w:sdt>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ECB1D0" w14:textId="3BD3AAFC" w:rsidR="00D660E4" w:rsidRDefault="00D660E4" w:rsidP="000C56EA">
    <w:pPr>
      <w:pStyle w:val="Footer"/>
      <w:jc w:val="right"/>
    </w:pPr>
    <w:r>
      <w:rPr>
        <w:noProof/>
      </w:rPr>
      <w:drawing>
        <wp:anchor distT="0" distB="0" distL="114300" distR="114300" simplePos="0" relativeHeight="251658240" behindDoc="0" locked="0" layoutInCell="1" allowOverlap="1" wp14:anchorId="309000BA" wp14:editId="272FB87E">
          <wp:simplePos x="0" y="0"/>
          <wp:positionH relativeFrom="column">
            <wp:posOffset>5734050</wp:posOffset>
          </wp:positionH>
          <wp:positionV relativeFrom="paragraph">
            <wp:posOffset>-61595</wp:posOffset>
          </wp:positionV>
          <wp:extent cx="704850" cy="245584"/>
          <wp:effectExtent l="0" t="0" r="0" b="254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4850" cy="245584"/>
                  </a:xfrm>
                  <a:prstGeom prst="rect">
                    <a:avLst/>
                  </a:prstGeom>
                  <a:noFill/>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03527976"/>
      <w:docPartObj>
        <w:docPartGallery w:val="Page Numbers (Bottom of Page)"/>
        <w:docPartUnique/>
      </w:docPartObj>
    </w:sdtPr>
    <w:sdtEndPr/>
    <w:sdtContent>
      <w:sdt>
        <w:sdtPr>
          <w:id w:val="-1835594096"/>
          <w:docPartObj>
            <w:docPartGallery w:val="Page Numbers (Top of Page)"/>
            <w:docPartUnique/>
          </w:docPartObj>
        </w:sdtPr>
        <w:sdtEndPr/>
        <w:sdtContent>
          <w:p w14:paraId="1C5F3698" w14:textId="079CA641" w:rsidR="00D660E4" w:rsidRDefault="00D660E4" w:rsidP="0080636E">
            <w:pPr>
              <w:pStyle w:val="Footer"/>
              <w:jc w:val="center"/>
            </w:pPr>
            <w:r>
              <w:t xml:space="preserve">Page </w:t>
            </w:r>
            <w:r>
              <w:rPr>
                <w:b/>
                <w:bCs/>
                <w:szCs w:val="24"/>
              </w:rPr>
              <w:fldChar w:fldCharType="begin"/>
            </w:r>
            <w:r>
              <w:rPr>
                <w:b/>
                <w:bCs/>
              </w:rPr>
              <w:instrText xml:space="preserve"> PAGE </w:instrText>
            </w:r>
            <w:r>
              <w:rPr>
                <w:b/>
                <w:bCs/>
                <w:szCs w:val="24"/>
              </w:rPr>
              <w:fldChar w:fldCharType="separate"/>
            </w:r>
            <w:r>
              <w:rPr>
                <w:b/>
                <w:bCs/>
                <w:noProof/>
              </w:rPr>
              <w:t>2</w:t>
            </w:r>
            <w:r>
              <w:rPr>
                <w:b/>
                <w:bCs/>
                <w:szCs w:val="24"/>
              </w:rPr>
              <w:fldChar w:fldCharType="end"/>
            </w:r>
            <w:r>
              <w:t xml:space="preserve"> of </w:t>
            </w:r>
            <w:r>
              <w:rPr>
                <w:b/>
                <w:bCs/>
                <w:szCs w:val="24"/>
              </w:rPr>
              <w:fldChar w:fldCharType="begin"/>
            </w:r>
            <w:r>
              <w:rPr>
                <w:b/>
                <w:bCs/>
                <w:szCs w:val="24"/>
              </w:rPr>
              <w:instrText xml:space="preserve"> = </w:instrText>
            </w:r>
            <w:r>
              <w:rPr>
                <w:b/>
                <w:bCs/>
                <w:szCs w:val="24"/>
              </w:rPr>
              <w:fldChar w:fldCharType="begin"/>
            </w:r>
            <w:r>
              <w:rPr>
                <w:b/>
                <w:bCs/>
                <w:szCs w:val="24"/>
              </w:rPr>
              <w:instrText xml:space="preserve"> NUMPAGES </w:instrText>
            </w:r>
            <w:r>
              <w:rPr>
                <w:b/>
                <w:bCs/>
                <w:szCs w:val="24"/>
              </w:rPr>
              <w:fldChar w:fldCharType="separate"/>
            </w:r>
            <w:r w:rsidR="0099156B">
              <w:rPr>
                <w:b/>
                <w:bCs/>
                <w:noProof/>
                <w:szCs w:val="24"/>
              </w:rPr>
              <w:instrText>42</w:instrText>
            </w:r>
            <w:r>
              <w:rPr>
                <w:b/>
                <w:bCs/>
                <w:szCs w:val="24"/>
              </w:rPr>
              <w:fldChar w:fldCharType="end"/>
            </w:r>
            <w:r>
              <w:rPr>
                <w:b/>
                <w:bCs/>
                <w:szCs w:val="24"/>
              </w:rPr>
              <w:instrText xml:space="preserve">-1 </w:instrText>
            </w:r>
            <w:r w:rsidR="0099156B">
              <w:rPr>
                <w:b/>
                <w:bCs/>
                <w:szCs w:val="24"/>
              </w:rPr>
              <w:fldChar w:fldCharType="separate"/>
            </w:r>
            <w:r w:rsidR="0099156B">
              <w:rPr>
                <w:b/>
                <w:bCs/>
                <w:noProof/>
                <w:szCs w:val="24"/>
              </w:rPr>
              <w:t>41</w:t>
            </w:r>
            <w:r>
              <w:rPr>
                <w:b/>
                <w:bCs/>
                <w:szCs w:val="24"/>
              </w:rPr>
              <w:fldChar w:fldCharType="end"/>
            </w:r>
          </w:p>
        </w:sdtContent>
      </w:sdt>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785E3A" w14:textId="5F3A8328" w:rsidR="00D660E4" w:rsidRPr="0080636E" w:rsidRDefault="009961ED" w:rsidP="0080636E">
    <w:pPr>
      <w:pStyle w:val="Footer"/>
      <w:jc w:val="center"/>
      <w:rPr>
        <w:i/>
      </w:rPr>
    </w:pPr>
    <w:sdt>
      <w:sdtPr>
        <w:id w:val="-1862429296"/>
        <w:docPartObj>
          <w:docPartGallery w:val="Page Numbers (Top of Page)"/>
          <w:docPartUnique/>
        </w:docPartObj>
      </w:sdtPr>
      <w:sdtEndPr/>
      <w:sdtContent>
        <w:sdt>
          <w:sdtPr>
            <w:id w:val="649712372"/>
            <w:docPartObj>
              <w:docPartGallery w:val="Page Numbers (Top of Page)"/>
              <w:docPartUnique/>
            </w:docPartObj>
          </w:sdtPr>
          <w:sdtEndPr/>
          <w:sdtContent>
            <w:r w:rsidR="00D660E4">
              <w:t xml:space="preserve">Page </w:t>
            </w:r>
            <w:r w:rsidR="00D660E4">
              <w:rPr>
                <w:b/>
                <w:bCs/>
                <w:szCs w:val="24"/>
              </w:rPr>
              <w:fldChar w:fldCharType="begin"/>
            </w:r>
            <w:r w:rsidR="00D660E4">
              <w:rPr>
                <w:b/>
                <w:bCs/>
              </w:rPr>
              <w:instrText xml:space="preserve"> PAGE </w:instrText>
            </w:r>
            <w:r w:rsidR="00D660E4">
              <w:rPr>
                <w:b/>
                <w:bCs/>
                <w:szCs w:val="24"/>
              </w:rPr>
              <w:fldChar w:fldCharType="separate"/>
            </w:r>
            <w:r w:rsidR="00D660E4">
              <w:rPr>
                <w:b/>
                <w:bCs/>
                <w:szCs w:val="24"/>
              </w:rPr>
              <w:t>2</w:t>
            </w:r>
            <w:r w:rsidR="00D660E4">
              <w:rPr>
                <w:b/>
                <w:bCs/>
                <w:szCs w:val="24"/>
              </w:rPr>
              <w:fldChar w:fldCharType="end"/>
            </w:r>
            <w:r w:rsidR="00D660E4">
              <w:t xml:space="preserve"> of </w:t>
            </w:r>
            <w:r w:rsidR="00D660E4">
              <w:rPr>
                <w:b/>
                <w:bCs/>
                <w:szCs w:val="24"/>
              </w:rPr>
              <w:fldChar w:fldCharType="begin"/>
            </w:r>
            <w:r w:rsidR="00D660E4">
              <w:rPr>
                <w:b/>
                <w:bCs/>
                <w:szCs w:val="24"/>
              </w:rPr>
              <w:instrText xml:space="preserve"> =</w:instrText>
            </w:r>
            <w:r w:rsidR="00D660E4">
              <w:rPr>
                <w:b/>
                <w:bCs/>
                <w:szCs w:val="24"/>
              </w:rPr>
              <w:fldChar w:fldCharType="begin"/>
            </w:r>
            <w:r w:rsidR="00D660E4">
              <w:rPr>
                <w:b/>
                <w:bCs/>
                <w:szCs w:val="24"/>
              </w:rPr>
              <w:instrText xml:space="preserve"> NUMPAGES </w:instrText>
            </w:r>
            <w:r w:rsidR="00D660E4">
              <w:rPr>
                <w:b/>
                <w:bCs/>
                <w:szCs w:val="24"/>
              </w:rPr>
              <w:fldChar w:fldCharType="separate"/>
            </w:r>
            <w:r>
              <w:rPr>
                <w:b/>
                <w:bCs/>
                <w:noProof/>
                <w:szCs w:val="24"/>
              </w:rPr>
              <w:instrText>42</w:instrText>
            </w:r>
            <w:r w:rsidR="00D660E4">
              <w:rPr>
                <w:b/>
                <w:bCs/>
                <w:szCs w:val="24"/>
              </w:rPr>
              <w:fldChar w:fldCharType="end"/>
            </w:r>
            <w:r w:rsidR="00D660E4">
              <w:rPr>
                <w:b/>
                <w:bCs/>
                <w:szCs w:val="24"/>
              </w:rPr>
              <w:instrText xml:space="preserve">-1 </w:instrText>
            </w:r>
            <w:r w:rsidR="0099156B">
              <w:rPr>
                <w:b/>
                <w:bCs/>
                <w:szCs w:val="24"/>
              </w:rPr>
              <w:fldChar w:fldCharType="separate"/>
            </w:r>
            <w:r>
              <w:rPr>
                <w:b/>
                <w:bCs/>
                <w:noProof/>
                <w:szCs w:val="24"/>
              </w:rPr>
              <w:t>41</w:t>
            </w:r>
            <w:r w:rsidR="00D660E4">
              <w:rPr>
                <w:b/>
                <w:bCs/>
                <w:szCs w:val="24"/>
              </w:rPr>
              <w:fldChar w:fldCharType="end"/>
            </w:r>
          </w:sdtContent>
        </w:sdt>
      </w:sdtContent>
    </w:sdt>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9B64E7" w14:textId="1234CD18" w:rsidR="00D660E4" w:rsidRPr="0080636E" w:rsidRDefault="009961ED" w:rsidP="0080636E">
    <w:pPr>
      <w:pStyle w:val="Footer"/>
      <w:jc w:val="center"/>
      <w:rPr>
        <w:i/>
      </w:rPr>
    </w:pPr>
    <w:sdt>
      <w:sdtPr>
        <w:id w:val="-362752410"/>
        <w:docPartObj>
          <w:docPartGallery w:val="Page Numbers (Top of Page)"/>
          <w:docPartUnique/>
        </w:docPartObj>
      </w:sdtPr>
      <w:sdtEndPr/>
      <w:sdtContent>
        <w:sdt>
          <w:sdtPr>
            <w:id w:val="2058121190"/>
            <w:docPartObj>
              <w:docPartGallery w:val="Page Numbers (Top of Page)"/>
              <w:docPartUnique/>
            </w:docPartObj>
          </w:sdtPr>
          <w:sdtEndPr/>
          <w:sdtContent>
            <w:r w:rsidR="00D660E4">
              <w:t xml:space="preserve">Page </w:t>
            </w:r>
            <w:r w:rsidR="00D660E4">
              <w:rPr>
                <w:b/>
                <w:bCs/>
                <w:szCs w:val="24"/>
              </w:rPr>
              <w:fldChar w:fldCharType="begin"/>
            </w:r>
            <w:r w:rsidR="00D660E4">
              <w:rPr>
                <w:b/>
                <w:bCs/>
              </w:rPr>
              <w:instrText xml:space="preserve"> PAGE </w:instrText>
            </w:r>
            <w:r w:rsidR="00D660E4">
              <w:rPr>
                <w:b/>
                <w:bCs/>
                <w:szCs w:val="24"/>
              </w:rPr>
              <w:fldChar w:fldCharType="separate"/>
            </w:r>
            <w:r w:rsidR="00D660E4">
              <w:rPr>
                <w:b/>
                <w:bCs/>
                <w:szCs w:val="24"/>
              </w:rPr>
              <w:t>2</w:t>
            </w:r>
            <w:r w:rsidR="00D660E4">
              <w:rPr>
                <w:b/>
                <w:bCs/>
                <w:szCs w:val="24"/>
              </w:rPr>
              <w:fldChar w:fldCharType="end"/>
            </w:r>
            <w:r w:rsidR="00D660E4">
              <w:t xml:space="preserve"> of </w:t>
            </w:r>
            <w:r w:rsidR="00D660E4">
              <w:rPr>
                <w:b/>
                <w:bCs/>
                <w:szCs w:val="24"/>
              </w:rPr>
              <w:fldChar w:fldCharType="begin"/>
            </w:r>
            <w:r w:rsidR="00D660E4">
              <w:rPr>
                <w:b/>
                <w:bCs/>
                <w:szCs w:val="24"/>
              </w:rPr>
              <w:instrText xml:space="preserve"> =</w:instrText>
            </w:r>
            <w:r w:rsidR="00D660E4">
              <w:rPr>
                <w:b/>
                <w:bCs/>
                <w:szCs w:val="24"/>
              </w:rPr>
              <w:fldChar w:fldCharType="begin"/>
            </w:r>
            <w:r w:rsidR="00D660E4">
              <w:rPr>
                <w:b/>
                <w:bCs/>
                <w:szCs w:val="24"/>
              </w:rPr>
              <w:instrText xml:space="preserve"> NUMPAGES </w:instrText>
            </w:r>
            <w:r w:rsidR="00D660E4">
              <w:rPr>
                <w:b/>
                <w:bCs/>
                <w:szCs w:val="24"/>
              </w:rPr>
              <w:fldChar w:fldCharType="separate"/>
            </w:r>
            <w:r w:rsidR="0099156B">
              <w:rPr>
                <w:b/>
                <w:bCs/>
                <w:noProof/>
                <w:szCs w:val="24"/>
              </w:rPr>
              <w:instrText>42</w:instrText>
            </w:r>
            <w:r w:rsidR="00D660E4">
              <w:rPr>
                <w:b/>
                <w:bCs/>
                <w:szCs w:val="24"/>
              </w:rPr>
              <w:fldChar w:fldCharType="end"/>
            </w:r>
            <w:r w:rsidR="00D660E4">
              <w:rPr>
                <w:b/>
                <w:bCs/>
                <w:szCs w:val="24"/>
              </w:rPr>
              <w:instrText xml:space="preserve">-1 </w:instrText>
            </w:r>
            <w:r w:rsidR="00D660E4">
              <w:rPr>
                <w:b/>
                <w:bCs/>
                <w:szCs w:val="24"/>
              </w:rPr>
              <w:fldChar w:fldCharType="end"/>
            </w:r>
          </w:sdtContent>
        </w:sdt>
      </w:sdtContent>
    </w:sdt>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95843528"/>
      <w:docPartObj>
        <w:docPartGallery w:val="Page Numbers (Bottom of Page)"/>
        <w:docPartUnique/>
      </w:docPartObj>
    </w:sdtPr>
    <w:sdtEndPr/>
    <w:sdtContent>
      <w:sdt>
        <w:sdtPr>
          <w:id w:val="1951660290"/>
          <w:docPartObj>
            <w:docPartGallery w:val="Page Numbers (Top of Page)"/>
            <w:docPartUnique/>
          </w:docPartObj>
        </w:sdtPr>
        <w:sdtEndPr/>
        <w:sdtContent>
          <w:p w14:paraId="7BEEE96D" w14:textId="5AEFF61B" w:rsidR="00D660E4" w:rsidRDefault="00D660E4">
            <w:pPr>
              <w:pStyle w:val="Footer"/>
              <w:jc w:val="center"/>
            </w:pPr>
            <w:r>
              <w:t xml:space="preserve">Page </w:t>
            </w:r>
            <w:r>
              <w:rPr>
                <w:b/>
                <w:bCs/>
                <w:szCs w:val="24"/>
              </w:rPr>
              <w:fldChar w:fldCharType="begin"/>
            </w:r>
            <w:r>
              <w:rPr>
                <w:b/>
                <w:bCs/>
              </w:rPr>
              <w:instrText xml:space="preserve"> PAGE </w:instrText>
            </w:r>
            <w:r>
              <w:rPr>
                <w:b/>
                <w:bCs/>
                <w:szCs w:val="24"/>
              </w:rPr>
              <w:fldChar w:fldCharType="separate"/>
            </w:r>
            <w:r>
              <w:rPr>
                <w:b/>
                <w:bCs/>
                <w:noProof/>
              </w:rPr>
              <w:t>23</w:t>
            </w:r>
            <w:r>
              <w:rPr>
                <w:b/>
                <w:bCs/>
                <w:szCs w:val="24"/>
              </w:rPr>
              <w:fldChar w:fldCharType="end"/>
            </w:r>
            <w:r>
              <w:t xml:space="preserve"> of </w:t>
            </w:r>
            <w:r>
              <w:rPr>
                <w:b/>
                <w:bCs/>
                <w:szCs w:val="24"/>
              </w:rPr>
              <w:t>40</w:t>
            </w:r>
          </w:p>
        </w:sdtContent>
      </w:sdt>
    </w:sdtContent>
  </w:sdt>
  <w:p w14:paraId="11F99EDC" w14:textId="77777777" w:rsidR="00D660E4" w:rsidRDefault="00D660E4" w:rsidP="00EA751A">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8FC559C" w14:textId="77777777" w:rsidR="0094576E" w:rsidRDefault="0094576E">
      <w:pPr>
        <w:spacing w:line="240" w:lineRule="auto"/>
      </w:pPr>
      <w:r>
        <w:separator/>
      </w:r>
    </w:p>
    <w:p w14:paraId="636D17D6" w14:textId="77777777" w:rsidR="0094576E" w:rsidRDefault="0094576E"/>
  </w:footnote>
  <w:footnote w:type="continuationSeparator" w:id="0">
    <w:p w14:paraId="6E119916" w14:textId="77777777" w:rsidR="0094576E" w:rsidRDefault="0094576E">
      <w:pPr>
        <w:spacing w:line="240" w:lineRule="auto"/>
      </w:pPr>
      <w:r>
        <w:continuationSeparator/>
      </w:r>
    </w:p>
    <w:p w14:paraId="342AC339" w14:textId="77777777" w:rsidR="0094576E" w:rsidRDefault="0094576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A14046" w14:textId="1D8C97AC" w:rsidR="00D660E4" w:rsidRPr="00470380" w:rsidRDefault="00737028" w:rsidP="000C66CB">
    <w:pPr>
      <w:pStyle w:val="Header"/>
      <w:jc w:val="center"/>
    </w:pPr>
    <w:bookmarkStart w:id="3" w:name="_Hlk508570023"/>
    <w:bookmarkStart w:id="4" w:name="_Hlk508570024"/>
    <w:r>
      <w:rPr>
        <w:rStyle w:val="Strong"/>
        <w:b w:val="0"/>
      </w:rPr>
      <w:t>April</w:t>
    </w:r>
    <w:r w:rsidR="00D660E4" w:rsidRPr="00470380">
      <w:rPr>
        <w:rStyle w:val="Strong"/>
        <w:b w:val="0"/>
      </w:rPr>
      <w:t xml:space="preserve"> 2018 - Licensing authorities’ approach to section 167 of the Equality Act 2010</w:t>
    </w:r>
    <w:bookmarkEnd w:id="3"/>
    <w:bookmarkEnd w:id="4"/>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43C882" w14:textId="1E693562" w:rsidR="00D660E4" w:rsidRPr="00470380" w:rsidRDefault="00737028" w:rsidP="0099156B">
    <w:pPr>
      <w:pStyle w:val="Header"/>
      <w:jc w:val="center"/>
    </w:pPr>
    <w:r>
      <w:t>April</w:t>
    </w:r>
    <w:r w:rsidR="00D660E4" w:rsidRPr="00470380">
      <w:t xml:space="preserve"> 2018 - Licensing authorities’ approach to section 167 of the Equality Act 2010</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B40132" w14:textId="06392946" w:rsidR="00D660E4" w:rsidRPr="00470380" w:rsidRDefault="00737028" w:rsidP="00470380">
    <w:pPr>
      <w:pStyle w:val="Header"/>
      <w:jc w:val="center"/>
    </w:pPr>
    <w:r>
      <w:rPr>
        <w:rStyle w:val="Strong"/>
        <w:b w:val="0"/>
      </w:rPr>
      <w:t>April</w:t>
    </w:r>
    <w:r w:rsidR="00D660E4" w:rsidRPr="00470380">
      <w:rPr>
        <w:rStyle w:val="Strong"/>
        <w:b w:val="0"/>
      </w:rPr>
      <w:t xml:space="preserve"> 2018 - Licensing authorities’ approach to section 167 of the Equality Act 2010</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F14A0D" w14:textId="0DFCF133" w:rsidR="00D660E4" w:rsidRPr="00EA751A" w:rsidRDefault="00D660E4" w:rsidP="00C43E89">
    <w:pPr>
      <w:pStyle w:val="Header"/>
      <w:jc w:val="center"/>
    </w:pPr>
    <w:r w:rsidRPr="00470380">
      <w:rPr>
        <w:rStyle w:val="Strong"/>
        <w:b w:val="0"/>
      </w:rPr>
      <w:t>January 2018 - Licensing authorities’ approach to section 167 of the Equality Act 2010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6ED08D94"/>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3D5203EE"/>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F2DC96EC"/>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94D2CA36"/>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17BCEBA6"/>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D386FFE"/>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D73A80FE"/>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0AB08068"/>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D6E00290"/>
    <w:lvl w:ilvl="0">
      <w:start w:val="1"/>
      <w:numFmt w:val="decimal"/>
      <w:pStyle w:val="ListNumber"/>
      <w:lvlText w:val="%1."/>
      <w:lvlJc w:val="left"/>
      <w:pPr>
        <w:tabs>
          <w:tab w:val="num" w:pos="1080"/>
        </w:tabs>
        <w:ind w:left="1080" w:hanging="360"/>
      </w:pPr>
      <w:rPr>
        <w:rFonts w:hint="default"/>
      </w:rPr>
    </w:lvl>
  </w:abstractNum>
  <w:abstractNum w:abstractNumId="9" w15:restartNumberingAfterBreak="0">
    <w:nsid w:val="FFFFFF89"/>
    <w:multiLevelType w:val="singleLevel"/>
    <w:tmpl w:val="D6FC344C"/>
    <w:lvl w:ilvl="0">
      <w:start w:val="1"/>
      <w:numFmt w:val="bullet"/>
      <w:pStyle w:val="ListBullet"/>
      <w:lvlText w:val=""/>
      <w:lvlJc w:val="left"/>
      <w:pPr>
        <w:tabs>
          <w:tab w:val="num" w:pos="1080"/>
        </w:tabs>
        <w:ind w:left="1080" w:hanging="360"/>
      </w:pPr>
      <w:rPr>
        <w:rFonts w:ascii="Symbol" w:hAnsi="Symbol" w:hint="default"/>
      </w:rPr>
    </w:lvl>
  </w:abstractNum>
  <w:abstractNum w:abstractNumId="10" w15:restartNumberingAfterBreak="0">
    <w:nsid w:val="045D15B4"/>
    <w:multiLevelType w:val="hybridMultilevel"/>
    <w:tmpl w:val="81063D6A"/>
    <w:lvl w:ilvl="0" w:tplc="08090001">
      <w:start w:val="1"/>
      <w:numFmt w:val="bullet"/>
      <w:lvlText w:val=""/>
      <w:lvlJc w:val="left"/>
      <w:pPr>
        <w:ind w:left="1074" w:hanging="360"/>
      </w:pPr>
      <w:rPr>
        <w:rFonts w:ascii="Symbol" w:hAnsi="Symbol" w:hint="default"/>
      </w:rPr>
    </w:lvl>
    <w:lvl w:ilvl="1" w:tplc="08090003" w:tentative="1">
      <w:start w:val="1"/>
      <w:numFmt w:val="bullet"/>
      <w:lvlText w:val="o"/>
      <w:lvlJc w:val="left"/>
      <w:pPr>
        <w:ind w:left="1794" w:hanging="360"/>
      </w:pPr>
      <w:rPr>
        <w:rFonts w:ascii="Courier New" w:hAnsi="Courier New" w:cs="Courier New" w:hint="default"/>
      </w:rPr>
    </w:lvl>
    <w:lvl w:ilvl="2" w:tplc="08090005" w:tentative="1">
      <w:start w:val="1"/>
      <w:numFmt w:val="bullet"/>
      <w:lvlText w:val=""/>
      <w:lvlJc w:val="left"/>
      <w:pPr>
        <w:ind w:left="2514" w:hanging="360"/>
      </w:pPr>
      <w:rPr>
        <w:rFonts w:ascii="Wingdings" w:hAnsi="Wingdings" w:hint="default"/>
      </w:rPr>
    </w:lvl>
    <w:lvl w:ilvl="3" w:tplc="08090001" w:tentative="1">
      <w:start w:val="1"/>
      <w:numFmt w:val="bullet"/>
      <w:lvlText w:val=""/>
      <w:lvlJc w:val="left"/>
      <w:pPr>
        <w:ind w:left="3234" w:hanging="360"/>
      </w:pPr>
      <w:rPr>
        <w:rFonts w:ascii="Symbol" w:hAnsi="Symbol" w:hint="default"/>
      </w:rPr>
    </w:lvl>
    <w:lvl w:ilvl="4" w:tplc="08090003" w:tentative="1">
      <w:start w:val="1"/>
      <w:numFmt w:val="bullet"/>
      <w:lvlText w:val="o"/>
      <w:lvlJc w:val="left"/>
      <w:pPr>
        <w:ind w:left="3954" w:hanging="360"/>
      </w:pPr>
      <w:rPr>
        <w:rFonts w:ascii="Courier New" w:hAnsi="Courier New" w:cs="Courier New" w:hint="default"/>
      </w:rPr>
    </w:lvl>
    <w:lvl w:ilvl="5" w:tplc="08090005" w:tentative="1">
      <w:start w:val="1"/>
      <w:numFmt w:val="bullet"/>
      <w:lvlText w:val=""/>
      <w:lvlJc w:val="left"/>
      <w:pPr>
        <w:ind w:left="4674" w:hanging="360"/>
      </w:pPr>
      <w:rPr>
        <w:rFonts w:ascii="Wingdings" w:hAnsi="Wingdings" w:hint="default"/>
      </w:rPr>
    </w:lvl>
    <w:lvl w:ilvl="6" w:tplc="08090001" w:tentative="1">
      <w:start w:val="1"/>
      <w:numFmt w:val="bullet"/>
      <w:lvlText w:val=""/>
      <w:lvlJc w:val="left"/>
      <w:pPr>
        <w:ind w:left="5394" w:hanging="360"/>
      </w:pPr>
      <w:rPr>
        <w:rFonts w:ascii="Symbol" w:hAnsi="Symbol" w:hint="default"/>
      </w:rPr>
    </w:lvl>
    <w:lvl w:ilvl="7" w:tplc="08090003" w:tentative="1">
      <w:start w:val="1"/>
      <w:numFmt w:val="bullet"/>
      <w:lvlText w:val="o"/>
      <w:lvlJc w:val="left"/>
      <w:pPr>
        <w:ind w:left="6114" w:hanging="360"/>
      </w:pPr>
      <w:rPr>
        <w:rFonts w:ascii="Courier New" w:hAnsi="Courier New" w:cs="Courier New" w:hint="default"/>
      </w:rPr>
    </w:lvl>
    <w:lvl w:ilvl="8" w:tplc="08090005" w:tentative="1">
      <w:start w:val="1"/>
      <w:numFmt w:val="bullet"/>
      <w:lvlText w:val=""/>
      <w:lvlJc w:val="left"/>
      <w:pPr>
        <w:ind w:left="6834" w:hanging="360"/>
      </w:pPr>
      <w:rPr>
        <w:rFonts w:ascii="Wingdings" w:hAnsi="Wingdings" w:hint="default"/>
      </w:rPr>
    </w:lvl>
  </w:abstractNum>
  <w:abstractNum w:abstractNumId="11" w15:restartNumberingAfterBreak="0">
    <w:nsid w:val="0C967C9A"/>
    <w:multiLevelType w:val="hybridMultilevel"/>
    <w:tmpl w:val="36C6C08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1050627"/>
    <w:multiLevelType w:val="hybridMultilevel"/>
    <w:tmpl w:val="7B5256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82D7155"/>
    <w:multiLevelType w:val="hybridMultilevel"/>
    <w:tmpl w:val="72FEECEE"/>
    <w:lvl w:ilvl="0" w:tplc="F3CEEC36">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D4A19D8"/>
    <w:multiLevelType w:val="hybridMultilevel"/>
    <w:tmpl w:val="ABDEFE84"/>
    <w:lvl w:ilvl="0" w:tplc="80D6F1AA">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1AB1C70"/>
    <w:multiLevelType w:val="hybridMultilevel"/>
    <w:tmpl w:val="4E94F2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61F7D2C"/>
    <w:multiLevelType w:val="hybridMultilevel"/>
    <w:tmpl w:val="9B7448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9CB6AA2"/>
    <w:multiLevelType w:val="hybridMultilevel"/>
    <w:tmpl w:val="EDF21D3E"/>
    <w:lvl w:ilvl="0" w:tplc="80D6F1AA">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F9D19BB"/>
    <w:multiLevelType w:val="hybridMultilevel"/>
    <w:tmpl w:val="5F581E74"/>
    <w:lvl w:ilvl="0" w:tplc="9E3836A2">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4787363"/>
    <w:multiLevelType w:val="hybridMultilevel"/>
    <w:tmpl w:val="D40C5B5E"/>
    <w:lvl w:ilvl="0" w:tplc="4DE25F26">
      <w:start w:val="1"/>
      <w:numFmt w:val="decimal"/>
      <w:pStyle w:val="Heading1"/>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A5A1099"/>
    <w:multiLevelType w:val="multilevel"/>
    <w:tmpl w:val="4268E1E0"/>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1" w15:restartNumberingAfterBreak="0">
    <w:nsid w:val="4DD35D45"/>
    <w:multiLevelType w:val="hybridMultilevel"/>
    <w:tmpl w:val="E32CBF20"/>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FA07B8E"/>
    <w:multiLevelType w:val="hybridMultilevel"/>
    <w:tmpl w:val="94DC41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1E628E4"/>
    <w:multiLevelType w:val="hybridMultilevel"/>
    <w:tmpl w:val="D29414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27D4856"/>
    <w:multiLevelType w:val="hybridMultilevel"/>
    <w:tmpl w:val="B35EC3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4B27D0C"/>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15:restartNumberingAfterBreak="0">
    <w:nsid w:val="55B2493D"/>
    <w:multiLevelType w:val="hybridMultilevel"/>
    <w:tmpl w:val="BB3C7154"/>
    <w:lvl w:ilvl="0" w:tplc="80D6F1AA">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6FF308A"/>
    <w:multiLevelType w:val="hybridMultilevel"/>
    <w:tmpl w:val="857A23E8"/>
    <w:lvl w:ilvl="0" w:tplc="80D6F1AA">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62E65411"/>
    <w:multiLevelType w:val="hybridMultilevel"/>
    <w:tmpl w:val="A33A58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468491F"/>
    <w:multiLevelType w:val="hybridMultilevel"/>
    <w:tmpl w:val="51BE4E88"/>
    <w:lvl w:ilvl="0" w:tplc="80D6F1AA">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74D4940"/>
    <w:multiLevelType w:val="hybridMultilevel"/>
    <w:tmpl w:val="A64676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D702056"/>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2" w15:restartNumberingAfterBreak="0">
    <w:nsid w:val="7273740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75A87D43"/>
    <w:multiLevelType w:val="hybridMultilevel"/>
    <w:tmpl w:val="D35E4F0C"/>
    <w:lvl w:ilvl="0" w:tplc="92E872AC">
      <w:start w:val="1"/>
      <w:numFmt w:val="lowerLetter"/>
      <w:pStyle w:val="Heading2"/>
      <w:lvlText w:val="%1)"/>
      <w:lvlJc w:val="left"/>
      <w:pPr>
        <w:ind w:left="786"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787F6A38"/>
    <w:multiLevelType w:val="hybridMultilevel"/>
    <w:tmpl w:val="85126868"/>
    <w:lvl w:ilvl="0" w:tplc="80D6F1AA">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9"/>
    <w:lvlOverride w:ilvl="0">
      <w:startOverride w:val="1"/>
    </w:lvlOverride>
  </w:num>
  <w:num w:numId="12">
    <w:abstractNumId w:val="32"/>
  </w:num>
  <w:num w:numId="13">
    <w:abstractNumId w:val="25"/>
  </w:num>
  <w:num w:numId="14">
    <w:abstractNumId w:val="20"/>
  </w:num>
  <w:num w:numId="15">
    <w:abstractNumId w:val="31"/>
  </w:num>
  <w:num w:numId="16">
    <w:abstractNumId w:val="18"/>
  </w:num>
  <w:num w:numId="17">
    <w:abstractNumId w:val="13"/>
  </w:num>
  <w:num w:numId="18">
    <w:abstractNumId w:val="16"/>
  </w:num>
  <w:num w:numId="19">
    <w:abstractNumId w:val="24"/>
  </w:num>
  <w:num w:numId="20">
    <w:abstractNumId w:val="12"/>
  </w:num>
  <w:num w:numId="21">
    <w:abstractNumId w:val="15"/>
  </w:num>
  <w:num w:numId="22">
    <w:abstractNumId w:val="19"/>
  </w:num>
  <w:num w:numId="23">
    <w:abstractNumId w:val="33"/>
  </w:num>
  <w:num w:numId="24">
    <w:abstractNumId w:val="33"/>
    <w:lvlOverride w:ilvl="0">
      <w:startOverride w:val="1"/>
    </w:lvlOverride>
  </w:num>
  <w:num w:numId="25">
    <w:abstractNumId w:val="33"/>
    <w:lvlOverride w:ilvl="0">
      <w:startOverride w:val="1"/>
    </w:lvlOverride>
  </w:num>
  <w:num w:numId="26">
    <w:abstractNumId w:val="33"/>
    <w:lvlOverride w:ilvl="0">
      <w:startOverride w:val="1"/>
    </w:lvlOverride>
  </w:num>
  <w:num w:numId="27">
    <w:abstractNumId w:val="33"/>
    <w:lvlOverride w:ilvl="0">
      <w:startOverride w:val="1"/>
    </w:lvlOverride>
  </w:num>
  <w:num w:numId="28">
    <w:abstractNumId w:val="33"/>
    <w:lvlOverride w:ilvl="0">
      <w:startOverride w:val="1"/>
    </w:lvlOverride>
  </w:num>
  <w:num w:numId="29">
    <w:abstractNumId w:val="33"/>
    <w:lvlOverride w:ilvl="0">
      <w:startOverride w:val="1"/>
    </w:lvlOverride>
  </w:num>
  <w:num w:numId="30">
    <w:abstractNumId w:val="33"/>
    <w:lvlOverride w:ilvl="0">
      <w:startOverride w:val="1"/>
    </w:lvlOverride>
  </w:num>
  <w:num w:numId="31">
    <w:abstractNumId w:val="28"/>
  </w:num>
  <w:num w:numId="32">
    <w:abstractNumId w:val="22"/>
  </w:num>
  <w:num w:numId="33">
    <w:abstractNumId w:val="10"/>
  </w:num>
  <w:num w:numId="34">
    <w:abstractNumId w:val="30"/>
  </w:num>
  <w:num w:numId="35">
    <w:abstractNumId w:val="19"/>
    <w:lvlOverride w:ilvl="0">
      <w:startOverride w:val="1"/>
    </w:lvlOverride>
  </w:num>
  <w:num w:numId="36">
    <w:abstractNumId w:val="33"/>
    <w:lvlOverride w:ilvl="0">
      <w:startOverride w:val="2"/>
    </w:lvlOverride>
  </w:num>
  <w:num w:numId="37">
    <w:abstractNumId w:val="21"/>
  </w:num>
  <w:num w:numId="38">
    <w:abstractNumId w:val="11"/>
  </w:num>
  <w:num w:numId="39">
    <w:abstractNumId w:val="17"/>
  </w:num>
  <w:num w:numId="40">
    <w:abstractNumId w:val="27"/>
  </w:num>
  <w:num w:numId="41">
    <w:abstractNumId w:val="14"/>
  </w:num>
  <w:num w:numId="42">
    <w:abstractNumId w:val="26"/>
  </w:num>
  <w:num w:numId="43">
    <w:abstractNumId w:val="29"/>
  </w:num>
  <w:num w:numId="44">
    <w:abstractNumId w:val="34"/>
  </w:num>
  <w:num w:numId="45">
    <w:abstractNumId w:val="33"/>
    <w:lvlOverride w:ilvl="0">
      <w:startOverride w:val="1"/>
    </w:lvlOverride>
  </w:num>
  <w:num w:numId="46">
    <w:abstractNumId w:val="23"/>
  </w:num>
  <w:num w:numId="47">
    <w:abstractNumId w:val="33"/>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defaultTabStop w:val="720"/>
  <w:characterSpacingControl w:val="doNotCompress"/>
  <w:hdrShapeDefaults>
    <o:shapedefaults v:ext="edit" spidmax="10241"/>
  </w:hdrShapeDefaults>
  <w:footnotePr>
    <w:pos w:val="beneathText"/>
    <w:footnote w:id="-1"/>
    <w:footnote w:id="0"/>
  </w:footnotePr>
  <w:endnotePr>
    <w:pos w:val="sectEnd"/>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1483"/>
    <w:rsid w:val="00000B06"/>
    <w:rsid w:val="00001CBA"/>
    <w:rsid w:val="0000457B"/>
    <w:rsid w:val="00005B77"/>
    <w:rsid w:val="000114CF"/>
    <w:rsid w:val="0001210E"/>
    <w:rsid w:val="000127C6"/>
    <w:rsid w:val="00015355"/>
    <w:rsid w:val="000162D0"/>
    <w:rsid w:val="00016481"/>
    <w:rsid w:val="00017AF4"/>
    <w:rsid w:val="00023479"/>
    <w:rsid w:val="00027D8F"/>
    <w:rsid w:val="00033792"/>
    <w:rsid w:val="00050319"/>
    <w:rsid w:val="000573F2"/>
    <w:rsid w:val="00062132"/>
    <w:rsid w:val="000646E6"/>
    <w:rsid w:val="000713AE"/>
    <w:rsid w:val="00073CF4"/>
    <w:rsid w:val="000823FF"/>
    <w:rsid w:val="00083734"/>
    <w:rsid w:val="0008418C"/>
    <w:rsid w:val="00085BF8"/>
    <w:rsid w:val="000911DE"/>
    <w:rsid w:val="000934E5"/>
    <w:rsid w:val="000A287C"/>
    <w:rsid w:val="000A485F"/>
    <w:rsid w:val="000B3686"/>
    <w:rsid w:val="000B3869"/>
    <w:rsid w:val="000C3238"/>
    <w:rsid w:val="000C4555"/>
    <w:rsid w:val="000C4DB2"/>
    <w:rsid w:val="000C56EA"/>
    <w:rsid w:val="000C66CB"/>
    <w:rsid w:val="000D309C"/>
    <w:rsid w:val="000D36FB"/>
    <w:rsid w:val="000D3F41"/>
    <w:rsid w:val="000D6254"/>
    <w:rsid w:val="000D6E73"/>
    <w:rsid w:val="000E44FB"/>
    <w:rsid w:val="000E49D4"/>
    <w:rsid w:val="000F09B7"/>
    <w:rsid w:val="000F0CC9"/>
    <w:rsid w:val="001205E6"/>
    <w:rsid w:val="00122756"/>
    <w:rsid w:val="00122A38"/>
    <w:rsid w:val="00132AE7"/>
    <w:rsid w:val="00133F10"/>
    <w:rsid w:val="00135FF0"/>
    <w:rsid w:val="00145EB4"/>
    <w:rsid w:val="00152BEA"/>
    <w:rsid w:val="001548A3"/>
    <w:rsid w:val="00154C3A"/>
    <w:rsid w:val="0015500C"/>
    <w:rsid w:val="001561A0"/>
    <w:rsid w:val="001759E3"/>
    <w:rsid w:val="00176B2F"/>
    <w:rsid w:val="0017730E"/>
    <w:rsid w:val="00180E78"/>
    <w:rsid w:val="00183D29"/>
    <w:rsid w:val="00187BC8"/>
    <w:rsid w:val="001A1FDE"/>
    <w:rsid w:val="001A22F4"/>
    <w:rsid w:val="001A320D"/>
    <w:rsid w:val="001B1CDF"/>
    <w:rsid w:val="001B2D6D"/>
    <w:rsid w:val="001B4493"/>
    <w:rsid w:val="001B5AE3"/>
    <w:rsid w:val="001C50B6"/>
    <w:rsid w:val="001D4121"/>
    <w:rsid w:val="001D56FB"/>
    <w:rsid w:val="001E0142"/>
    <w:rsid w:val="001E24CD"/>
    <w:rsid w:val="001E7270"/>
    <w:rsid w:val="001E77BC"/>
    <w:rsid w:val="001F271E"/>
    <w:rsid w:val="001F2D40"/>
    <w:rsid w:val="00202E80"/>
    <w:rsid w:val="00203081"/>
    <w:rsid w:val="002037BD"/>
    <w:rsid w:val="00204990"/>
    <w:rsid w:val="00206A7F"/>
    <w:rsid w:val="002107A2"/>
    <w:rsid w:val="00213BAA"/>
    <w:rsid w:val="0022043E"/>
    <w:rsid w:val="00220F81"/>
    <w:rsid w:val="0022225B"/>
    <w:rsid w:val="002234D0"/>
    <w:rsid w:val="00234A37"/>
    <w:rsid w:val="00236B48"/>
    <w:rsid w:val="00236FFC"/>
    <w:rsid w:val="00244503"/>
    <w:rsid w:val="00245347"/>
    <w:rsid w:val="0024546A"/>
    <w:rsid w:val="00247508"/>
    <w:rsid w:val="00251DB4"/>
    <w:rsid w:val="002552D0"/>
    <w:rsid w:val="00257948"/>
    <w:rsid w:val="00266A4B"/>
    <w:rsid w:val="0027178F"/>
    <w:rsid w:val="00271CDF"/>
    <w:rsid w:val="002756F9"/>
    <w:rsid w:val="002768F7"/>
    <w:rsid w:val="00276C29"/>
    <w:rsid w:val="0028337E"/>
    <w:rsid w:val="002839BF"/>
    <w:rsid w:val="00285285"/>
    <w:rsid w:val="00297E88"/>
    <w:rsid w:val="002A0182"/>
    <w:rsid w:val="002A4449"/>
    <w:rsid w:val="002B00B9"/>
    <w:rsid w:val="002B621B"/>
    <w:rsid w:val="002B6AA1"/>
    <w:rsid w:val="002D0EE3"/>
    <w:rsid w:val="002D4C24"/>
    <w:rsid w:val="002D6005"/>
    <w:rsid w:val="002F15E4"/>
    <w:rsid w:val="002F4A0F"/>
    <w:rsid w:val="0032041F"/>
    <w:rsid w:val="00322479"/>
    <w:rsid w:val="00323627"/>
    <w:rsid w:val="00335219"/>
    <w:rsid w:val="00345BB7"/>
    <w:rsid w:val="00350204"/>
    <w:rsid w:val="00355D41"/>
    <w:rsid w:val="00355DCA"/>
    <w:rsid w:val="00356BC8"/>
    <w:rsid w:val="003573C2"/>
    <w:rsid w:val="00357C19"/>
    <w:rsid w:val="00361507"/>
    <w:rsid w:val="00366660"/>
    <w:rsid w:val="00370215"/>
    <w:rsid w:val="00372650"/>
    <w:rsid w:val="00377CC9"/>
    <w:rsid w:val="00380450"/>
    <w:rsid w:val="00386E1A"/>
    <w:rsid w:val="00390BD1"/>
    <w:rsid w:val="003954F6"/>
    <w:rsid w:val="003A1B51"/>
    <w:rsid w:val="003A620B"/>
    <w:rsid w:val="003B1F6D"/>
    <w:rsid w:val="003B379E"/>
    <w:rsid w:val="003B5BC0"/>
    <w:rsid w:val="003B69E5"/>
    <w:rsid w:val="003E0D46"/>
    <w:rsid w:val="003E203E"/>
    <w:rsid w:val="004077D6"/>
    <w:rsid w:val="00411580"/>
    <w:rsid w:val="00422E66"/>
    <w:rsid w:val="00424AD0"/>
    <w:rsid w:val="00425059"/>
    <w:rsid w:val="00426DCE"/>
    <w:rsid w:val="00430EDA"/>
    <w:rsid w:val="0043169A"/>
    <w:rsid w:val="0043378F"/>
    <w:rsid w:val="0044336A"/>
    <w:rsid w:val="00445240"/>
    <w:rsid w:val="00446650"/>
    <w:rsid w:val="00460A47"/>
    <w:rsid w:val="004611DD"/>
    <w:rsid w:val="00462E39"/>
    <w:rsid w:val="004653DF"/>
    <w:rsid w:val="00465774"/>
    <w:rsid w:val="00470380"/>
    <w:rsid w:val="0047508A"/>
    <w:rsid w:val="004777E4"/>
    <w:rsid w:val="00481FE2"/>
    <w:rsid w:val="00483294"/>
    <w:rsid w:val="00493FC2"/>
    <w:rsid w:val="004A1DF3"/>
    <w:rsid w:val="004A24F7"/>
    <w:rsid w:val="004A318C"/>
    <w:rsid w:val="004A6C40"/>
    <w:rsid w:val="004A7F80"/>
    <w:rsid w:val="004B44D4"/>
    <w:rsid w:val="004B5F2C"/>
    <w:rsid w:val="004C1E40"/>
    <w:rsid w:val="004D1892"/>
    <w:rsid w:val="004D25DC"/>
    <w:rsid w:val="004E3DBA"/>
    <w:rsid w:val="005113D5"/>
    <w:rsid w:val="00516239"/>
    <w:rsid w:val="00530C7F"/>
    <w:rsid w:val="00531D0A"/>
    <w:rsid w:val="00537E5A"/>
    <w:rsid w:val="0054657A"/>
    <w:rsid w:val="005477DD"/>
    <w:rsid w:val="00547AC4"/>
    <w:rsid w:val="00551A02"/>
    <w:rsid w:val="005534FA"/>
    <w:rsid w:val="00556C1A"/>
    <w:rsid w:val="00575516"/>
    <w:rsid w:val="0058479C"/>
    <w:rsid w:val="00590E86"/>
    <w:rsid w:val="005A1BFE"/>
    <w:rsid w:val="005A1C92"/>
    <w:rsid w:val="005B6987"/>
    <w:rsid w:val="005C032A"/>
    <w:rsid w:val="005C3190"/>
    <w:rsid w:val="005D3A03"/>
    <w:rsid w:val="005D4472"/>
    <w:rsid w:val="005E288A"/>
    <w:rsid w:val="005E4917"/>
    <w:rsid w:val="005E54DF"/>
    <w:rsid w:val="005F08BA"/>
    <w:rsid w:val="005F1733"/>
    <w:rsid w:val="005F1CAF"/>
    <w:rsid w:val="006022EB"/>
    <w:rsid w:val="0060588C"/>
    <w:rsid w:val="00614703"/>
    <w:rsid w:val="006227B4"/>
    <w:rsid w:val="00637693"/>
    <w:rsid w:val="00637D6F"/>
    <w:rsid w:val="006430C6"/>
    <w:rsid w:val="006433A5"/>
    <w:rsid w:val="00653F1D"/>
    <w:rsid w:val="00654D8C"/>
    <w:rsid w:val="00654E1F"/>
    <w:rsid w:val="006626A4"/>
    <w:rsid w:val="00662AF0"/>
    <w:rsid w:val="00664D0C"/>
    <w:rsid w:val="006661C1"/>
    <w:rsid w:val="006820F3"/>
    <w:rsid w:val="00683BEE"/>
    <w:rsid w:val="0068654A"/>
    <w:rsid w:val="00687BBF"/>
    <w:rsid w:val="00690424"/>
    <w:rsid w:val="006919D9"/>
    <w:rsid w:val="006A0ABA"/>
    <w:rsid w:val="006A5E60"/>
    <w:rsid w:val="006B28FC"/>
    <w:rsid w:val="006B71F5"/>
    <w:rsid w:val="006C639F"/>
    <w:rsid w:val="006E3DC6"/>
    <w:rsid w:val="006F2E30"/>
    <w:rsid w:val="006F3E94"/>
    <w:rsid w:val="0071092C"/>
    <w:rsid w:val="00710E3B"/>
    <w:rsid w:val="00711321"/>
    <w:rsid w:val="00712BC7"/>
    <w:rsid w:val="007277B2"/>
    <w:rsid w:val="00737028"/>
    <w:rsid w:val="00753BE5"/>
    <w:rsid w:val="007552A5"/>
    <w:rsid w:val="00761DA5"/>
    <w:rsid w:val="007623F1"/>
    <w:rsid w:val="007628B3"/>
    <w:rsid w:val="00770722"/>
    <w:rsid w:val="007708D8"/>
    <w:rsid w:val="00775976"/>
    <w:rsid w:val="007765C1"/>
    <w:rsid w:val="007865A5"/>
    <w:rsid w:val="0079162C"/>
    <w:rsid w:val="00794951"/>
    <w:rsid w:val="007A6860"/>
    <w:rsid w:val="007B7645"/>
    <w:rsid w:val="007C0EB1"/>
    <w:rsid w:val="007C3CC1"/>
    <w:rsid w:val="007C4FDE"/>
    <w:rsid w:val="007C5137"/>
    <w:rsid w:val="007F1ED5"/>
    <w:rsid w:val="007F2DAA"/>
    <w:rsid w:val="008002C0"/>
    <w:rsid w:val="00803776"/>
    <w:rsid w:val="0080636E"/>
    <w:rsid w:val="00806CC5"/>
    <w:rsid w:val="00821EFC"/>
    <w:rsid w:val="008229E9"/>
    <w:rsid w:val="00827861"/>
    <w:rsid w:val="00830CC9"/>
    <w:rsid w:val="0083423C"/>
    <w:rsid w:val="0084088C"/>
    <w:rsid w:val="00845FAD"/>
    <w:rsid w:val="008520C2"/>
    <w:rsid w:val="0085247B"/>
    <w:rsid w:val="008533A7"/>
    <w:rsid w:val="008536C1"/>
    <w:rsid w:val="00856CF2"/>
    <w:rsid w:val="00865D43"/>
    <w:rsid w:val="00871352"/>
    <w:rsid w:val="008732DA"/>
    <w:rsid w:val="00874B78"/>
    <w:rsid w:val="00874B96"/>
    <w:rsid w:val="008770B7"/>
    <w:rsid w:val="00881C45"/>
    <w:rsid w:val="00890F17"/>
    <w:rsid w:val="00891A3E"/>
    <w:rsid w:val="00894E4D"/>
    <w:rsid w:val="0089533C"/>
    <w:rsid w:val="008A3BD3"/>
    <w:rsid w:val="008C5323"/>
    <w:rsid w:val="008E3661"/>
    <w:rsid w:val="008E4C16"/>
    <w:rsid w:val="008F459A"/>
    <w:rsid w:val="008F6F05"/>
    <w:rsid w:val="0090045E"/>
    <w:rsid w:val="009010B4"/>
    <w:rsid w:val="0091023B"/>
    <w:rsid w:val="009158BE"/>
    <w:rsid w:val="009164A3"/>
    <w:rsid w:val="00916A08"/>
    <w:rsid w:val="009221C5"/>
    <w:rsid w:val="0093425C"/>
    <w:rsid w:val="0094576E"/>
    <w:rsid w:val="00946DCD"/>
    <w:rsid w:val="00957436"/>
    <w:rsid w:val="00973ACA"/>
    <w:rsid w:val="00975BBE"/>
    <w:rsid w:val="0097628D"/>
    <w:rsid w:val="0098078A"/>
    <w:rsid w:val="0099156B"/>
    <w:rsid w:val="00991C57"/>
    <w:rsid w:val="00994499"/>
    <w:rsid w:val="009961ED"/>
    <w:rsid w:val="009966EF"/>
    <w:rsid w:val="009A0792"/>
    <w:rsid w:val="009A6A3B"/>
    <w:rsid w:val="009A7BBB"/>
    <w:rsid w:val="009B32E5"/>
    <w:rsid w:val="009B3334"/>
    <w:rsid w:val="009C2DEC"/>
    <w:rsid w:val="009D58C5"/>
    <w:rsid w:val="009E1B75"/>
    <w:rsid w:val="009E3D80"/>
    <w:rsid w:val="009E434D"/>
    <w:rsid w:val="009E61D8"/>
    <w:rsid w:val="009E6224"/>
    <w:rsid w:val="009F141D"/>
    <w:rsid w:val="009F174B"/>
    <w:rsid w:val="009F2964"/>
    <w:rsid w:val="009F2AFF"/>
    <w:rsid w:val="009F5DA3"/>
    <w:rsid w:val="00A00350"/>
    <w:rsid w:val="00A0289B"/>
    <w:rsid w:val="00A029E0"/>
    <w:rsid w:val="00A03195"/>
    <w:rsid w:val="00A057C4"/>
    <w:rsid w:val="00A178A6"/>
    <w:rsid w:val="00A17C30"/>
    <w:rsid w:val="00A25B62"/>
    <w:rsid w:val="00A33845"/>
    <w:rsid w:val="00A37E40"/>
    <w:rsid w:val="00A42422"/>
    <w:rsid w:val="00A55788"/>
    <w:rsid w:val="00A5597F"/>
    <w:rsid w:val="00A64081"/>
    <w:rsid w:val="00A664D2"/>
    <w:rsid w:val="00A66F09"/>
    <w:rsid w:val="00A71FC8"/>
    <w:rsid w:val="00A758B3"/>
    <w:rsid w:val="00A84B3D"/>
    <w:rsid w:val="00A86586"/>
    <w:rsid w:val="00A944CE"/>
    <w:rsid w:val="00A97A90"/>
    <w:rsid w:val="00AA0664"/>
    <w:rsid w:val="00AA7010"/>
    <w:rsid w:val="00AB296E"/>
    <w:rsid w:val="00AB2D59"/>
    <w:rsid w:val="00AB6AB1"/>
    <w:rsid w:val="00AC1798"/>
    <w:rsid w:val="00AC6866"/>
    <w:rsid w:val="00AD1BAD"/>
    <w:rsid w:val="00AD22EB"/>
    <w:rsid w:val="00AD5A78"/>
    <w:rsid w:val="00AD7916"/>
    <w:rsid w:val="00AE2670"/>
    <w:rsid w:val="00AE28B7"/>
    <w:rsid w:val="00AE2FD8"/>
    <w:rsid w:val="00AE5249"/>
    <w:rsid w:val="00AF190A"/>
    <w:rsid w:val="00AF5036"/>
    <w:rsid w:val="00B01FF7"/>
    <w:rsid w:val="00B05120"/>
    <w:rsid w:val="00B069F5"/>
    <w:rsid w:val="00B11F35"/>
    <w:rsid w:val="00B177DD"/>
    <w:rsid w:val="00B26373"/>
    <w:rsid w:val="00B34809"/>
    <w:rsid w:val="00B34B1C"/>
    <w:rsid w:val="00B34B78"/>
    <w:rsid w:val="00B420AB"/>
    <w:rsid w:val="00B477A2"/>
    <w:rsid w:val="00B50333"/>
    <w:rsid w:val="00B52193"/>
    <w:rsid w:val="00B53B7C"/>
    <w:rsid w:val="00B64349"/>
    <w:rsid w:val="00B70241"/>
    <w:rsid w:val="00B745E4"/>
    <w:rsid w:val="00B823AA"/>
    <w:rsid w:val="00B87A63"/>
    <w:rsid w:val="00B959CE"/>
    <w:rsid w:val="00B95A2C"/>
    <w:rsid w:val="00BA45DB"/>
    <w:rsid w:val="00BB0325"/>
    <w:rsid w:val="00BB0594"/>
    <w:rsid w:val="00BC17DA"/>
    <w:rsid w:val="00BD361D"/>
    <w:rsid w:val="00BD5723"/>
    <w:rsid w:val="00BD5F5B"/>
    <w:rsid w:val="00BE6714"/>
    <w:rsid w:val="00BF4184"/>
    <w:rsid w:val="00C00560"/>
    <w:rsid w:val="00C04EC4"/>
    <w:rsid w:val="00C0601E"/>
    <w:rsid w:val="00C1175C"/>
    <w:rsid w:val="00C17B30"/>
    <w:rsid w:val="00C22083"/>
    <w:rsid w:val="00C2283D"/>
    <w:rsid w:val="00C31D30"/>
    <w:rsid w:val="00C41556"/>
    <w:rsid w:val="00C43E89"/>
    <w:rsid w:val="00C447FC"/>
    <w:rsid w:val="00C45B02"/>
    <w:rsid w:val="00C468DB"/>
    <w:rsid w:val="00C47CAC"/>
    <w:rsid w:val="00C53DAF"/>
    <w:rsid w:val="00C57CCC"/>
    <w:rsid w:val="00C607AB"/>
    <w:rsid w:val="00C60BCC"/>
    <w:rsid w:val="00C63DD6"/>
    <w:rsid w:val="00C73B08"/>
    <w:rsid w:val="00C82A45"/>
    <w:rsid w:val="00C84E79"/>
    <w:rsid w:val="00C948B8"/>
    <w:rsid w:val="00CA1640"/>
    <w:rsid w:val="00CD58BC"/>
    <w:rsid w:val="00CD66F2"/>
    <w:rsid w:val="00CD6E39"/>
    <w:rsid w:val="00CE1149"/>
    <w:rsid w:val="00CF6E91"/>
    <w:rsid w:val="00D04D1D"/>
    <w:rsid w:val="00D107E7"/>
    <w:rsid w:val="00D1119D"/>
    <w:rsid w:val="00D14313"/>
    <w:rsid w:val="00D21952"/>
    <w:rsid w:val="00D42091"/>
    <w:rsid w:val="00D43B1E"/>
    <w:rsid w:val="00D50F45"/>
    <w:rsid w:val="00D51483"/>
    <w:rsid w:val="00D57766"/>
    <w:rsid w:val="00D63F41"/>
    <w:rsid w:val="00D64E9E"/>
    <w:rsid w:val="00D660E4"/>
    <w:rsid w:val="00D726D9"/>
    <w:rsid w:val="00D73199"/>
    <w:rsid w:val="00D7621D"/>
    <w:rsid w:val="00D84D25"/>
    <w:rsid w:val="00D85B68"/>
    <w:rsid w:val="00D87381"/>
    <w:rsid w:val="00D904E8"/>
    <w:rsid w:val="00D937CA"/>
    <w:rsid w:val="00D97805"/>
    <w:rsid w:val="00DB6009"/>
    <w:rsid w:val="00DC4B97"/>
    <w:rsid w:val="00DD2913"/>
    <w:rsid w:val="00DD7A46"/>
    <w:rsid w:val="00E00EDD"/>
    <w:rsid w:val="00E06D10"/>
    <w:rsid w:val="00E140B8"/>
    <w:rsid w:val="00E14979"/>
    <w:rsid w:val="00E161A3"/>
    <w:rsid w:val="00E22D11"/>
    <w:rsid w:val="00E33AB6"/>
    <w:rsid w:val="00E409C1"/>
    <w:rsid w:val="00E43666"/>
    <w:rsid w:val="00E43A46"/>
    <w:rsid w:val="00E44F34"/>
    <w:rsid w:val="00E536D4"/>
    <w:rsid w:val="00E6004D"/>
    <w:rsid w:val="00E61682"/>
    <w:rsid w:val="00E71DCE"/>
    <w:rsid w:val="00E81978"/>
    <w:rsid w:val="00E9027C"/>
    <w:rsid w:val="00E97A33"/>
    <w:rsid w:val="00EA0795"/>
    <w:rsid w:val="00EA1B55"/>
    <w:rsid w:val="00EA751A"/>
    <w:rsid w:val="00EB482B"/>
    <w:rsid w:val="00EC13C2"/>
    <w:rsid w:val="00EC31B9"/>
    <w:rsid w:val="00EC6E0D"/>
    <w:rsid w:val="00ED0F9E"/>
    <w:rsid w:val="00ED2662"/>
    <w:rsid w:val="00ED3E77"/>
    <w:rsid w:val="00EE5923"/>
    <w:rsid w:val="00EF3D81"/>
    <w:rsid w:val="00EF4D4E"/>
    <w:rsid w:val="00F04A91"/>
    <w:rsid w:val="00F07156"/>
    <w:rsid w:val="00F151EA"/>
    <w:rsid w:val="00F32C8A"/>
    <w:rsid w:val="00F35787"/>
    <w:rsid w:val="00F379B7"/>
    <w:rsid w:val="00F525FA"/>
    <w:rsid w:val="00F5297A"/>
    <w:rsid w:val="00F5406D"/>
    <w:rsid w:val="00F664F8"/>
    <w:rsid w:val="00F66B87"/>
    <w:rsid w:val="00F71D55"/>
    <w:rsid w:val="00F7358F"/>
    <w:rsid w:val="00F75A76"/>
    <w:rsid w:val="00F84034"/>
    <w:rsid w:val="00F858B3"/>
    <w:rsid w:val="00F86495"/>
    <w:rsid w:val="00F96B5C"/>
    <w:rsid w:val="00FA3197"/>
    <w:rsid w:val="00FB393C"/>
    <w:rsid w:val="00FB428B"/>
    <w:rsid w:val="00FB48E6"/>
    <w:rsid w:val="00FB7995"/>
    <w:rsid w:val="00FD162D"/>
    <w:rsid w:val="00FD1BA6"/>
    <w:rsid w:val="00FD2625"/>
    <w:rsid w:val="00FE2BCC"/>
    <w:rsid w:val="00FF05C1"/>
    <w:rsid w:val="00FF200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5379DBB1"/>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orbel" w:eastAsia="SimSun" w:hAnsi="Corbel" w:cs="Times New Roman"/>
        <w:lang w:val="en-GB"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B7645"/>
    <w:pPr>
      <w:spacing w:after="160" w:line="252" w:lineRule="auto"/>
      <w:jc w:val="both"/>
    </w:pPr>
    <w:rPr>
      <w:sz w:val="24"/>
      <w:szCs w:val="22"/>
      <w:lang w:val="en-US" w:eastAsia="ja-JP"/>
    </w:rPr>
  </w:style>
  <w:style w:type="paragraph" w:styleId="Heading1">
    <w:name w:val="heading 1"/>
    <w:basedOn w:val="Normal"/>
    <w:next w:val="Normal"/>
    <w:link w:val="Heading1Char"/>
    <w:uiPriority w:val="9"/>
    <w:qFormat/>
    <w:rsid w:val="0027178F"/>
    <w:pPr>
      <w:keepNext/>
      <w:keepLines/>
      <w:pageBreakBefore/>
      <w:numPr>
        <w:numId w:val="22"/>
      </w:numPr>
      <w:spacing w:before="320" w:after="40"/>
      <w:ind w:left="714" w:hanging="357"/>
      <w:jc w:val="center"/>
      <w:outlineLvl w:val="0"/>
    </w:pPr>
    <w:rPr>
      <w:b/>
      <w:bCs/>
      <w:caps/>
      <w:spacing w:val="4"/>
      <w:sz w:val="28"/>
      <w:szCs w:val="28"/>
    </w:rPr>
  </w:style>
  <w:style w:type="paragraph" w:styleId="Heading2">
    <w:name w:val="heading 2"/>
    <w:basedOn w:val="Normal"/>
    <w:next w:val="Normal"/>
    <w:link w:val="Heading2Char"/>
    <w:uiPriority w:val="9"/>
    <w:unhideWhenUsed/>
    <w:qFormat/>
    <w:rsid w:val="0027178F"/>
    <w:pPr>
      <w:keepNext/>
      <w:keepLines/>
      <w:numPr>
        <w:numId w:val="23"/>
      </w:numPr>
      <w:spacing w:before="280" w:after="0"/>
      <w:outlineLvl w:val="1"/>
    </w:pPr>
    <w:rPr>
      <w:b/>
      <w:bCs/>
      <w:i/>
      <w:sz w:val="28"/>
      <w:szCs w:val="28"/>
    </w:rPr>
  </w:style>
  <w:style w:type="paragraph" w:styleId="Heading3">
    <w:name w:val="heading 3"/>
    <w:basedOn w:val="Normal"/>
    <w:next w:val="Normal"/>
    <w:link w:val="Heading3Char"/>
    <w:uiPriority w:val="9"/>
    <w:unhideWhenUsed/>
    <w:qFormat/>
    <w:rsid w:val="00A758B3"/>
    <w:pPr>
      <w:keepNext/>
      <w:keepLines/>
      <w:spacing w:before="120" w:after="0"/>
      <w:outlineLvl w:val="2"/>
    </w:pPr>
    <w:rPr>
      <w:b/>
      <w:i/>
      <w:spacing w:val="4"/>
      <w:sz w:val="28"/>
      <w:szCs w:val="24"/>
    </w:rPr>
  </w:style>
  <w:style w:type="paragraph" w:styleId="Heading4">
    <w:name w:val="heading 4"/>
    <w:basedOn w:val="Normal"/>
    <w:next w:val="Normal"/>
    <w:link w:val="Heading4Char"/>
    <w:uiPriority w:val="9"/>
    <w:unhideWhenUsed/>
    <w:qFormat/>
    <w:rsid w:val="00D51483"/>
    <w:pPr>
      <w:keepNext/>
      <w:keepLines/>
      <w:spacing w:before="120" w:after="0"/>
      <w:outlineLvl w:val="3"/>
    </w:pPr>
    <w:rPr>
      <w:i/>
      <w:iCs/>
      <w:szCs w:val="24"/>
    </w:rPr>
  </w:style>
  <w:style w:type="paragraph" w:styleId="Heading5">
    <w:name w:val="heading 5"/>
    <w:basedOn w:val="Normal"/>
    <w:next w:val="Normal"/>
    <w:link w:val="Heading5Char"/>
    <w:uiPriority w:val="9"/>
    <w:unhideWhenUsed/>
    <w:qFormat/>
    <w:rsid w:val="00D51483"/>
    <w:pPr>
      <w:keepNext/>
      <w:keepLines/>
      <w:spacing w:before="120" w:after="0"/>
      <w:outlineLvl w:val="4"/>
    </w:pPr>
    <w:rPr>
      <w:b/>
      <w:bCs/>
    </w:rPr>
  </w:style>
  <w:style w:type="paragraph" w:styleId="Heading6">
    <w:name w:val="heading 6"/>
    <w:basedOn w:val="Normal"/>
    <w:next w:val="Normal"/>
    <w:link w:val="Heading6Char"/>
    <w:uiPriority w:val="9"/>
    <w:semiHidden/>
    <w:unhideWhenUsed/>
    <w:qFormat/>
    <w:rsid w:val="00D51483"/>
    <w:pPr>
      <w:keepNext/>
      <w:keepLines/>
      <w:spacing w:before="120" w:after="0"/>
      <w:outlineLvl w:val="5"/>
    </w:pPr>
    <w:rPr>
      <w:b/>
      <w:bCs/>
      <w:i/>
      <w:iCs/>
    </w:rPr>
  </w:style>
  <w:style w:type="paragraph" w:styleId="Heading7">
    <w:name w:val="heading 7"/>
    <w:basedOn w:val="Normal"/>
    <w:next w:val="Normal"/>
    <w:link w:val="Heading7Char"/>
    <w:uiPriority w:val="9"/>
    <w:semiHidden/>
    <w:unhideWhenUsed/>
    <w:qFormat/>
    <w:rsid w:val="00D51483"/>
    <w:pPr>
      <w:keepNext/>
      <w:keepLines/>
      <w:spacing w:before="120" w:after="0"/>
      <w:outlineLvl w:val="6"/>
    </w:pPr>
    <w:rPr>
      <w:i/>
      <w:iCs/>
    </w:rPr>
  </w:style>
  <w:style w:type="paragraph" w:styleId="Heading8">
    <w:name w:val="heading 8"/>
    <w:basedOn w:val="Normal"/>
    <w:next w:val="Normal"/>
    <w:link w:val="Heading8Char"/>
    <w:uiPriority w:val="9"/>
    <w:semiHidden/>
    <w:unhideWhenUsed/>
    <w:qFormat/>
    <w:rsid w:val="00D51483"/>
    <w:pPr>
      <w:keepNext/>
      <w:keepLines/>
      <w:spacing w:before="120" w:after="0"/>
      <w:outlineLvl w:val="7"/>
    </w:pPr>
    <w:rPr>
      <w:b/>
      <w:bCs/>
    </w:rPr>
  </w:style>
  <w:style w:type="paragraph" w:styleId="Heading9">
    <w:name w:val="heading 9"/>
    <w:basedOn w:val="Normal"/>
    <w:next w:val="Normal"/>
    <w:link w:val="Heading9Char"/>
    <w:uiPriority w:val="9"/>
    <w:semiHidden/>
    <w:unhideWhenUsed/>
    <w:qFormat/>
    <w:rsid w:val="00D51483"/>
    <w:pPr>
      <w:keepNext/>
      <w:keepLines/>
      <w:spacing w:before="120" w:after="0"/>
      <w:outlineLvl w:val="8"/>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ectionTitle">
    <w:name w:val="Section Title"/>
    <w:basedOn w:val="Normal"/>
    <w:uiPriority w:val="2"/>
    <w:pPr>
      <w:pageBreakBefore/>
      <w:jc w:val="center"/>
      <w:outlineLvl w:val="0"/>
    </w:pPr>
  </w:style>
  <w:style w:type="paragraph" w:styleId="Header">
    <w:name w:val="header"/>
    <w:basedOn w:val="Normal"/>
    <w:link w:val="HeaderChar"/>
    <w:uiPriority w:val="99"/>
    <w:unhideWhenUsed/>
    <w:pPr>
      <w:spacing w:line="240" w:lineRule="auto"/>
    </w:pPr>
  </w:style>
  <w:style w:type="character" w:customStyle="1" w:styleId="HeaderChar">
    <w:name w:val="Header Char"/>
    <w:link w:val="Header"/>
    <w:uiPriority w:val="99"/>
    <w:rPr>
      <w:kern w:val="24"/>
    </w:rPr>
  </w:style>
  <w:style w:type="character" w:styleId="Strong">
    <w:name w:val="Strong"/>
    <w:uiPriority w:val="22"/>
    <w:qFormat/>
    <w:rsid w:val="00D51483"/>
    <w:rPr>
      <w:b/>
      <w:bCs/>
      <w:color w:val="auto"/>
    </w:rPr>
  </w:style>
  <w:style w:type="character" w:styleId="PlaceholderText">
    <w:name w:val="Placeholder Text"/>
    <w:uiPriority w:val="99"/>
    <w:semiHidden/>
    <w:rsid w:val="005D3A03"/>
    <w:rPr>
      <w:color w:val="606060"/>
    </w:rPr>
  </w:style>
  <w:style w:type="paragraph" w:styleId="NoSpacing">
    <w:name w:val="No Spacing"/>
    <w:aliases w:val="No Indent"/>
    <w:uiPriority w:val="1"/>
    <w:qFormat/>
    <w:rsid w:val="00D51483"/>
    <w:pPr>
      <w:jc w:val="both"/>
    </w:pPr>
    <w:rPr>
      <w:sz w:val="22"/>
      <w:szCs w:val="22"/>
      <w:lang w:val="en-US" w:eastAsia="ja-JP"/>
    </w:rPr>
  </w:style>
  <w:style w:type="character" w:customStyle="1" w:styleId="Heading1Char">
    <w:name w:val="Heading 1 Char"/>
    <w:link w:val="Heading1"/>
    <w:uiPriority w:val="9"/>
    <w:rsid w:val="0027178F"/>
    <w:rPr>
      <w:b/>
      <w:bCs/>
      <w:caps/>
      <w:spacing w:val="4"/>
      <w:sz w:val="28"/>
      <w:szCs w:val="28"/>
      <w:lang w:val="en-US" w:eastAsia="ja-JP"/>
    </w:rPr>
  </w:style>
  <w:style w:type="character" w:customStyle="1" w:styleId="Heading2Char">
    <w:name w:val="Heading 2 Char"/>
    <w:link w:val="Heading2"/>
    <w:uiPriority w:val="9"/>
    <w:rsid w:val="0027178F"/>
    <w:rPr>
      <w:b/>
      <w:bCs/>
      <w:i/>
      <w:sz w:val="28"/>
      <w:szCs w:val="28"/>
      <w:lang w:val="en-US" w:eastAsia="ja-JP"/>
    </w:rPr>
  </w:style>
  <w:style w:type="paragraph" w:styleId="Title">
    <w:name w:val="Title"/>
    <w:basedOn w:val="Normal"/>
    <w:next w:val="Normal"/>
    <w:link w:val="TitleChar"/>
    <w:uiPriority w:val="10"/>
    <w:qFormat/>
    <w:rsid w:val="00D51483"/>
    <w:pPr>
      <w:spacing w:after="0" w:line="240" w:lineRule="auto"/>
      <w:contextualSpacing/>
      <w:jc w:val="center"/>
    </w:pPr>
    <w:rPr>
      <w:b/>
      <w:bCs/>
      <w:spacing w:val="-7"/>
      <w:sz w:val="48"/>
      <w:szCs w:val="48"/>
    </w:rPr>
  </w:style>
  <w:style w:type="character" w:customStyle="1" w:styleId="TitleChar">
    <w:name w:val="Title Char"/>
    <w:link w:val="Title"/>
    <w:uiPriority w:val="10"/>
    <w:rsid w:val="00D51483"/>
    <w:rPr>
      <w:rFonts w:ascii="Corbel" w:eastAsia="SimSun" w:hAnsi="Corbel" w:cs="Times New Roman"/>
      <w:b/>
      <w:bCs/>
      <w:spacing w:val="-7"/>
      <w:sz w:val="48"/>
      <w:szCs w:val="48"/>
    </w:rPr>
  </w:style>
  <w:style w:type="character" w:styleId="Emphasis">
    <w:name w:val="Emphasis"/>
    <w:uiPriority w:val="20"/>
    <w:qFormat/>
    <w:rsid w:val="00D51483"/>
    <w:rPr>
      <w:i/>
      <w:iCs/>
      <w:color w:val="auto"/>
    </w:rPr>
  </w:style>
  <w:style w:type="character" w:customStyle="1" w:styleId="Heading3Char">
    <w:name w:val="Heading 3 Char"/>
    <w:link w:val="Heading3"/>
    <w:uiPriority w:val="9"/>
    <w:rsid w:val="00A758B3"/>
    <w:rPr>
      <w:b/>
      <w:i/>
      <w:spacing w:val="4"/>
      <w:sz w:val="28"/>
      <w:szCs w:val="24"/>
      <w:lang w:val="en-US" w:eastAsia="ja-JP"/>
    </w:rPr>
  </w:style>
  <w:style w:type="character" w:customStyle="1" w:styleId="Heading4Char">
    <w:name w:val="Heading 4 Char"/>
    <w:link w:val="Heading4"/>
    <w:uiPriority w:val="9"/>
    <w:rsid w:val="00D51483"/>
    <w:rPr>
      <w:rFonts w:ascii="Corbel" w:eastAsia="SimSun" w:hAnsi="Corbel" w:cs="Times New Roman"/>
      <w:i/>
      <w:iCs/>
      <w:sz w:val="24"/>
      <w:szCs w:val="24"/>
    </w:rPr>
  </w:style>
  <w:style w:type="character" w:customStyle="1" w:styleId="Heading5Char">
    <w:name w:val="Heading 5 Char"/>
    <w:link w:val="Heading5"/>
    <w:uiPriority w:val="9"/>
    <w:rsid w:val="00D51483"/>
    <w:rPr>
      <w:rFonts w:ascii="Corbel" w:eastAsia="SimSun" w:hAnsi="Corbel" w:cs="Times New Roman"/>
      <w:b/>
      <w:bCs/>
    </w:rPr>
  </w:style>
  <w:style w:type="paragraph" w:styleId="BalloonText">
    <w:name w:val="Balloon Text"/>
    <w:basedOn w:val="Normal"/>
    <w:link w:val="BalloonTextChar"/>
    <w:uiPriority w:val="99"/>
    <w:semiHidden/>
    <w:unhideWhenUsed/>
    <w:rsid w:val="00FF2002"/>
    <w:pPr>
      <w:spacing w:line="240" w:lineRule="auto"/>
    </w:pPr>
    <w:rPr>
      <w:rFonts w:ascii="Segoe UI" w:hAnsi="Segoe UI" w:cs="Segoe UI"/>
      <w:sz w:val="22"/>
      <w:szCs w:val="18"/>
    </w:rPr>
  </w:style>
  <w:style w:type="character" w:customStyle="1" w:styleId="BalloonTextChar">
    <w:name w:val="Balloon Text Char"/>
    <w:link w:val="BalloonText"/>
    <w:uiPriority w:val="99"/>
    <w:semiHidden/>
    <w:rsid w:val="00FF2002"/>
    <w:rPr>
      <w:rFonts w:ascii="Segoe UI" w:hAnsi="Segoe UI" w:cs="Segoe UI"/>
      <w:kern w:val="24"/>
      <w:sz w:val="22"/>
      <w:szCs w:val="18"/>
    </w:rPr>
  </w:style>
  <w:style w:type="paragraph" w:styleId="Bibliography">
    <w:name w:val="Bibliography"/>
    <w:basedOn w:val="Normal"/>
    <w:next w:val="Normal"/>
    <w:uiPriority w:val="37"/>
    <w:unhideWhenUsed/>
    <w:pPr>
      <w:ind w:left="720" w:hanging="720"/>
    </w:pPr>
  </w:style>
  <w:style w:type="paragraph" w:styleId="BlockText">
    <w:name w:val="Block Text"/>
    <w:basedOn w:val="Normal"/>
    <w:uiPriority w:val="99"/>
    <w:semiHidden/>
    <w:unhideWhenUsed/>
    <w:rsid w:val="009A6A3B"/>
    <w:pPr>
      <w:pBdr>
        <w:top w:val="single" w:sz="2" w:space="10" w:color="757575" w:shadow="1"/>
        <w:left w:val="single" w:sz="2" w:space="10" w:color="757575" w:shadow="1"/>
        <w:bottom w:val="single" w:sz="2" w:space="10" w:color="757575" w:shadow="1"/>
        <w:right w:val="single" w:sz="2" w:space="10" w:color="757575" w:shadow="1"/>
      </w:pBdr>
      <w:ind w:left="1152" w:right="1152"/>
    </w:pPr>
    <w:rPr>
      <w:i/>
      <w:iCs/>
      <w:color w:val="757575"/>
    </w:rPr>
  </w:style>
  <w:style w:type="paragraph" w:styleId="BodyText">
    <w:name w:val="Body Text"/>
    <w:basedOn w:val="Normal"/>
    <w:link w:val="BodyTextChar"/>
    <w:uiPriority w:val="99"/>
    <w:semiHidden/>
    <w:unhideWhenUsed/>
    <w:pPr>
      <w:spacing w:after="120"/>
    </w:pPr>
  </w:style>
  <w:style w:type="character" w:customStyle="1" w:styleId="BodyTextChar">
    <w:name w:val="Body Text Char"/>
    <w:link w:val="BodyText"/>
    <w:uiPriority w:val="99"/>
    <w:semiHidden/>
    <w:rPr>
      <w:kern w:val="24"/>
    </w:rPr>
  </w:style>
  <w:style w:type="paragraph" w:styleId="BodyText2">
    <w:name w:val="Body Text 2"/>
    <w:basedOn w:val="Normal"/>
    <w:link w:val="BodyText2Char"/>
    <w:uiPriority w:val="99"/>
    <w:semiHidden/>
    <w:unhideWhenUsed/>
    <w:pPr>
      <w:spacing w:after="120"/>
    </w:pPr>
  </w:style>
  <w:style w:type="character" w:customStyle="1" w:styleId="BodyText2Char">
    <w:name w:val="Body Text 2 Char"/>
    <w:link w:val="BodyText2"/>
    <w:uiPriority w:val="99"/>
    <w:semiHidden/>
    <w:rPr>
      <w:kern w:val="24"/>
    </w:rPr>
  </w:style>
  <w:style w:type="paragraph" w:styleId="BodyText3">
    <w:name w:val="Body Text 3"/>
    <w:basedOn w:val="Normal"/>
    <w:link w:val="BodyText3Char"/>
    <w:uiPriority w:val="99"/>
    <w:semiHidden/>
    <w:unhideWhenUsed/>
    <w:rsid w:val="00FF2002"/>
    <w:pPr>
      <w:spacing w:after="120"/>
    </w:pPr>
    <w:rPr>
      <w:sz w:val="22"/>
      <w:szCs w:val="16"/>
    </w:rPr>
  </w:style>
  <w:style w:type="character" w:customStyle="1" w:styleId="BodyText3Char">
    <w:name w:val="Body Text 3 Char"/>
    <w:link w:val="BodyText3"/>
    <w:uiPriority w:val="99"/>
    <w:semiHidden/>
    <w:rsid w:val="00FF2002"/>
    <w:rPr>
      <w:kern w:val="24"/>
      <w:sz w:val="22"/>
      <w:szCs w:val="16"/>
    </w:rPr>
  </w:style>
  <w:style w:type="paragraph" w:styleId="BodyTextFirstIndent">
    <w:name w:val="Body Text First Indent"/>
    <w:basedOn w:val="BodyText"/>
    <w:link w:val="BodyTextFirstIndentChar"/>
    <w:uiPriority w:val="99"/>
    <w:semiHidden/>
    <w:unhideWhenUsed/>
    <w:pPr>
      <w:spacing w:after="0"/>
    </w:pPr>
  </w:style>
  <w:style w:type="character" w:customStyle="1" w:styleId="BodyTextFirstIndentChar">
    <w:name w:val="Body Text First Indent Char"/>
    <w:link w:val="BodyTextFirstIndent"/>
    <w:uiPriority w:val="99"/>
    <w:semiHidden/>
    <w:rPr>
      <w:kern w:val="24"/>
    </w:rPr>
  </w:style>
  <w:style w:type="paragraph" w:styleId="BodyTextIndent">
    <w:name w:val="Body Text Indent"/>
    <w:basedOn w:val="Normal"/>
    <w:link w:val="BodyTextIndentChar"/>
    <w:uiPriority w:val="99"/>
    <w:semiHidden/>
    <w:unhideWhenUsed/>
    <w:pPr>
      <w:spacing w:after="120"/>
      <w:ind w:left="360"/>
    </w:pPr>
  </w:style>
  <w:style w:type="character" w:customStyle="1" w:styleId="BodyTextIndentChar">
    <w:name w:val="Body Text Indent Char"/>
    <w:link w:val="BodyTextIndent"/>
    <w:uiPriority w:val="99"/>
    <w:semiHidden/>
    <w:rPr>
      <w:kern w:val="24"/>
    </w:rPr>
  </w:style>
  <w:style w:type="paragraph" w:styleId="BodyTextFirstIndent2">
    <w:name w:val="Body Text First Indent 2"/>
    <w:basedOn w:val="BodyTextIndent"/>
    <w:link w:val="BodyTextFirstIndent2Char"/>
    <w:uiPriority w:val="99"/>
    <w:semiHidden/>
    <w:unhideWhenUsed/>
    <w:pPr>
      <w:spacing w:after="0"/>
    </w:pPr>
  </w:style>
  <w:style w:type="character" w:customStyle="1" w:styleId="BodyTextFirstIndent2Char">
    <w:name w:val="Body Text First Indent 2 Char"/>
    <w:link w:val="BodyTextFirstIndent2"/>
    <w:uiPriority w:val="99"/>
    <w:semiHidden/>
    <w:rPr>
      <w:kern w:val="24"/>
    </w:rPr>
  </w:style>
  <w:style w:type="paragraph" w:styleId="BodyTextIndent2">
    <w:name w:val="Body Text Indent 2"/>
    <w:basedOn w:val="Normal"/>
    <w:link w:val="BodyTextIndent2Char"/>
    <w:uiPriority w:val="99"/>
    <w:semiHidden/>
    <w:unhideWhenUsed/>
    <w:pPr>
      <w:spacing w:after="120"/>
      <w:ind w:left="360"/>
    </w:pPr>
  </w:style>
  <w:style w:type="character" w:customStyle="1" w:styleId="BodyTextIndent2Char">
    <w:name w:val="Body Text Indent 2 Char"/>
    <w:link w:val="BodyTextIndent2"/>
    <w:uiPriority w:val="99"/>
    <w:semiHidden/>
    <w:rPr>
      <w:kern w:val="24"/>
    </w:rPr>
  </w:style>
  <w:style w:type="paragraph" w:styleId="BodyTextIndent3">
    <w:name w:val="Body Text Indent 3"/>
    <w:basedOn w:val="Normal"/>
    <w:link w:val="BodyTextIndent3Char"/>
    <w:uiPriority w:val="99"/>
    <w:semiHidden/>
    <w:unhideWhenUsed/>
    <w:rsid w:val="00FF2002"/>
    <w:pPr>
      <w:spacing w:after="120"/>
      <w:ind w:left="360"/>
    </w:pPr>
    <w:rPr>
      <w:sz w:val="22"/>
      <w:szCs w:val="16"/>
    </w:rPr>
  </w:style>
  <w:style w:type="character" w:customStyle="1" w:styleId="BodyTextIndent3Char">
    <w:name w:val="Body Text Indent 3 Char"/>
    <w:link w:val="BodyTextIndent3"/>
    <w:uiPriority w:val="99"/>
    <w:semiHidden/>
    <w:rsid w:val="00FF2002"/>
    <w:rPr>
      <w:kern w:val="24"/>
      <w:sz w:val="22"/>
      <w:szCs w:val="16"/>
    </w:rPr>
  </w:style>
  <w:style w:type="paragraph" w:styleId="Caption">
    <w:name w:val="caption"/>
    <w:basedOn w:val="Normal"/>
    <w:next w:val="Normal"/>
    <w:autoRedefine/>
    <w:uiPriority w:val="35"/>
    <w:unhideWhenUsed/>
    <w:qFormat/>
    <w:rsid w:val="00335219"/>
    <w:pPr>
      <w:spacing w:after="0" w:line="240" w:lineRule="auto"/>
      <w:contextualSpacing/>
      <w:jc w:val="right"/>
      <w:textboxTightWrap w:val="allLines"/>
    </w:pPr>
    <w:rPr>
      <w:bCs/>
      <w:i/>
      <w:sz w:val="18"/>
      <w:szCs w:val="18"/>
    </w:rPr>
  </w:style>
  <w:style w:type="paragraph" w:styleId="Closing">
    <w:name w:val="Closing"/>
    <w:basedOn w:val="Normal"/>
    <w:link w:val="ClosingChar"/>
    <w:uiPriority w:val="99"/>
    <w:semiHidden/>
    <w:unhideWhenUsed/>
    <w:pPr>
      <w:spacing w:line="240" w:lineRule="auto"/>
      <w:ind w:left="4320"/>
    </w:pPr>
  </w:style>
  <w:style w:type="character" w:customStyle="1" w:styleId="ClosingChar">
    <w:name w:val="Closing Char"/>
    <w:link w:val="Closing"/>
    <w:uiPriority w:val="99"/>
    <w:semiHidden/>
    <w:rPr>
      <w:kern w:val="24"/>
    </w:rPr>
  </w:style>
  <w:style w:type="paragraph" w:styleId="CommentText">
    <w:name w:val="annotation text"/>
    <w:basedOn w:val="Normal"/>
    <w:link w:val="CommentTextChar"/>
    <w:uiPriority w:val="99"/>
    <w:semiHidden/>
    <w:unhideWhenUsed/>
    <w:rsid w:val="00FF2002"/>
    <w:pPr>
      <w:spacing w:line="240" w:lineRule="auto"/>
    </w:pPr>
    <w:rPr>
      <w:sz w:val="22"/>
      <w:szCs w:val="20"/>
    </w:rPr>
  </w:style>
  <w:style w:type="character" w:customStyle="1" w:styleId="CommentTextChar">
    <w:name w:val="Comment Text Char"/>
    <w:link w:val="CommentText"/>
    <w:uiPriority w:val="99"/>
    <w:semiHidden/>
    <w:rsid w:val="00FF2002"/>
    <w:rPr>
      <w:kern w:val="24"/>
      <w:sz w:val="22"/>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link w:val="CommentSubject"/>
    <w:uiPriority w:val="99"/>
    <w:semiHidden/>
    <w:rPr>
      <w:b/>
      <w:bCs/>
      <w:kern w:val="24"/>
      <w:sz w:val="20"/>
      <w:szCs w:val="20"/>
    </w:rPr>
  </w:style>
  <w:style w:type="paragraph" w:styleId="Date">
    <w:name w:val="Date"/>
    <w:basedOn w:val="Normal"/>
    <w:next w:val="Normal"/>
    <w:link w:val="DateChar"/>
    <w:uiPriority w:val="99"/>
    <w:semiHidden/>
    <w:unhideWhenUsed/>
  </w:style>
  <w:style w:type="character" w:customStyle="1" w:styleId="DateChar">
    <w:name w:val="Date Char"/>
    <w:link w:val="Date"/>
    <w:uiPriority w:val="99"/>
    <w:semiHidden/>
    <w:rPr>
      <w:kern w:val="24"/>
    </w:rPr>
  </w:style>
  <w:style w:type="paragraph" w:styleId="DocumentMap">
    <w:name w:val="Document Map"/>
    <w:basedOn w:val="Normal"/>
    <w:link w:val="DocumentMapChar"/>
    <w:uiPriority w:val="99"/>
    <w:semiHidden/>
    <w:unhideWhenUsed/>
    <w:rsid w:val="00FF2002"/>
    <w:pPr>
      <w:spacing w:line="240" w:lineRule="auto"/>
    </w:pPr>
    <w:rPr>
      <w:rFonts w:ascii="Segoe UI" w:hAnsi="Segoe UI" w:cs="Segoe UI"/>
      <w:sz w:val="22"/>
      <w:szCs w:val="16"/>
    </w:rPr>
  </w:style>
  <w:style w:type="character" w:customStyle="1" w:styleId="DocumentMapChar">
    <w:name w:val="Document Map Char"/>
    <w:link w:val="DocumentMap"/>
    <w:uiPriority w:val="99"/>
    <w:semiHidden/>
    <w:rsid w:val="00FF2002"/>
    <w:rPr>
      <w:rFonts w:ascii="Segoe UI" w:hAnsi="Segoe UI" w:cs="Segoe UI"/>
      <w:kern w:val="24"/>
      <w:sz w:val="22"/>
      <w:szCs w:val="16"/>
    </w:rPr>
  </w:style>
  <w:style w:type="paragraph" w:styleId="E-mailSignature">
    <w:name w:val="E-mail Signature"/>
    <w:basedOn w:val="Normal"/>
    <w:link w:val="E-mailSignatureChar"/>
    <w:uiPriority w:val="99"/>
    <w:semiHidden/>
    <w:unhideWhenUsed/>
    <w:pPr>
      <w:spacing w:line="240" w:lineRule="auto"/>
    </w:pPr>
  </w:style>
  <w:style w:type="character" w:customStyle="1" w:styleId="E-mailSignatureChar">
    <w:name w:val="E-mail Signature Char"/>
    <w:link w:val="E-mailSignature"/>
    <w:uiPriority w:val="99"/>
    <w:semiHidden/>
    <w:rPr>
      <w:kern w:val="24"/>
    </w:rPr>
  </w:style>
  <w:style w:type="paragraph" w:styleId="FootnoteText">
    <w:name w:val="footnote text"/>
    <w:basedOn w:val="Normal"/>
    <w:link w:val="FootnoteTextChar"/>
    <w:uiPriority w:val="99"/>
    <w:unhideWhenUsed/>
    <w:rsid w:val="00E61682"/>
    <w:pPr>
      <w:spacing w:line="240" w:lineRule="auto"/>
    </w:pPr>
    <w:rPr>
      <w:i/>
      <w:szCs w:val="20"/>
    </w:rPr>
  </w:style>
  <w:style w:type="character" w:customStyle="1" w:styleId="FootnoteTextChar">
    <w:name w:val="Footnote Text Char"/>
    <w:link w:val="FootnoteText"/>
    <w:uiPriority w:val="99"/>
    <w:rsid w:val="00E61682"/>
    <w:rPr>
      <w:i/>
      <w:szCs w:val="20"/>
    </w:rPr>
  </w:style>
  <w:style w:type="paragraph" w:styleId="EnvelopeAddress">
    <w:name w:val="envelope address"/>
    <w:basedOn w:val="Normal"/>
    <w:uiPriority w:val="99"/>
    <w:semiHidden/>
    <w:unhideWhenUsed/>
    <w:pPr>
      <w:framePr w:w="7920" w:h="1980" w:hRule="exact" w:hSpace="180" w:wrap="auto" w:hAnchor="page" w:xAlign="center" w:yAlign="bottom"/>
      <w:spacing w:line="240" w:lineRule="auto"/>
      <w:ind w:left="2880"/>
    </w:pPr>
  </w:style>
  <w:style w:type="paragraph" w:styleId="EnvelopeReturn">
    <w:name w:val="envelope return"/>
    <w:basedOn w:val="Normal"/>
    <w:uiPriority w:val="99"/>
    <w:semiHidden/>
    <w:unhideWhenUsed/>
    <w:rsid w:val="00FF2002"/>
    <w:pPr>
      <w:spacing w:line="240" w:lineRule="auto"/>
    </w:pPr>
    <w:rPr>
      <w:sz w:val="22"/>
      <w:szCs w:val="20"/>
    </w:rPr>
  </w:style>
  <w:style w:type="paragraph" w:styleId="Footer">
    <w:name w:val="footer"/>
    <w:basedOn w:val="Normal"/>
    <w:link w:val="FooterChar"/>
    <w:uiPriority w:val="99"/>
    <w:unhideWhenUsed/>
    <w:rsid w:val="008002C0"/>
    <w:pPr>
      <w:spacing w:line="240" w:lineRule="auto"/>
    </w:pPr>
  </w:style>
  <w:style w:type="character" w:customStyle="1" w:styleId="FooterChar">
    <w:name w:val="Footer Char"/>
    <w:link w:val="Footer"/>
    <w:uiPriority w:val="99"/>
    <w:rsid w:val="008002C0"/>
    <w:rPr>
      <w:kern w:val="24"/>
    </w:rPr>
  </w:style>
  <w:style w:type="table" w:styleId="TableGrid">
    <w:name w:val="Table Grid"/>
    <w:basedOn w:val="Table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Heading6Char">
    <w:name w:val="Heading 6 Char"/>
    <w:link w:val="Heading6"/>
    <w:uiPriority w:val="9"/>
    <w:semiHidden/>
    <w:rsid w:val="00D51483"/>
    <w:rPr>
      <w:rFonts w:ascii="Corbel" w:eastAsia="SimSun" w:hAnsi="Corbel" w:cs="Times New Roman"/>
      <w:b/>
      <w:bCs/>
      <w:i/>
      <w:iCs/>
    </w:rPr>
  </w:style>
  <w:style w:type="character" w:customStyle="1" w:styleId="Heading7Char">
    <w:name w:val="Heading 7 Char"/>
    <w:link w:val="Heading7"/>
    <w:uiPriority w:val="9"/>
    <w:semiHidden/>
    <w:rsid w:val="00D51483"/>
    <w:rPr>
      <w:i/>
      <w:iCs/>
    </w:rPr>
  </w:style>
  <w:style w:type="character" w:customStyle="1" w:styleId="Heading8Char">
    <w:name w:val="Heading 8 Char"/>
    <w:link w:val="Heading8"/>
    <w:uiPriority w:val="9"/>
    <w:semiHidden/>
    <w:rsid w:val="00D51483"/>
    <w:rPr>
      <w:b/>
      <w:bCs/>
    </w:rPr>
  </w:style>
  <w:style w:type="character" w:customStyle="1" w:styleId="Heading9Char">
    <w:name w:val="Heading 9 Char"/>
    <w:link w:val="Heading9"/>
    <w:uiPriority w:val="9"/>
    <w:semiHidden/>
    <w:rsid w:val="00D51483"/>
    <w:rPr>
      <w:i/>
      <w:iCs/>
    </w:rPr>
  </w:style>
  <w:style w:type="paragraph" w:styleId="HTMLAddress">
    <w:name w:val="HTML Address"/>
    <w:basedOn w:val="Normal"/>
    <w:link w:val="HTMLAddressChar"/>
    <w:uiPriority w:val="99"/>
    <w:semiHidden/>
    <w:unhideWhenUsed/>
    <w:pPr>
      <w:spacing w:line="240" w:lineRule="auto"/>
    </w:pPr>
    <w:rPr>
      <w:i/>
      <w:iCs/>
    </w:rPr>
  </w:style>
  <w:style w:type="character" w:customStyle="1" w:styleId="HTMLAddressChar">
    <w:name w:val="HTML Address Char"/>
    <w:link w:val="HTMLAddress"/>
    <w:uiPriority w:val="99"/>
    <w:semiHidden/>
    <w:rPr>
      <w:i/>
      <w:iCs/>
      <w:kern w:val="24"/>
    </w:rPr>
  </w:style>
  <w:style w:type="paragraph" w:styleId="HTMLPreformatted">
    <w:name w:val="HTML Preformatted"/>
    <w:basedOn w:val="Normal"/>
    <w:link w:val="HTMLPreformattedChar"/>
    <w:uiPriority w:val="99"/>
    <w:semiHidden/>
    <w:unhideWhenUsed/>
    <w:rsid w:val="00FF2002"/>
    <w:pPr>
      <w:spacing w:line="240" w:lineRule="auto"/>
    </w:pPr>
    <w:rPr>
      <w:rFonts w:ascii="Consolas" w:hAnsi="Consolas" w:cs="Consolas"/>
      <w:sz w:val="22"/>
      <w:szCs w:val="20"/>
    </w:rPr>
  </w:style>
  <w:style w:type="character" w:customStyle="1" w:styleId="HTMLPreformattedChar">
    <w:name w:val="HTML Preformatted Char"/>
    <w:link w:val="HTMLPreformatted"/>
    <w:uiPriority w:val="99"/>
    <w:semiHidden/>
    <w:rsid w:val="00FF2002"/>
    <w:rPr>
      <w:rFonts w:ascii="Consolas" w:hAnsi="Consolas" w:cs="Consolas"/>
      <w:kern w:val="24"/>
      <w:sz w:val="22"/>
      <w:szCs w:val="20"/>
    </w:rPr>
  </w:style>
  <w:style w:type="paragraph" w:styleId="Index1">
    <w:name w:val="index 1"/>
    <w:basedOn w:val="Normal"/>
    <w:next w:val="Normal"/>
    <w:autoRedefine/>
    <w:uiPriority w:val="99"/>
    <w:semiHidden/>
    <w:unhideWhenUsed/>
    <w:pPr>
      <w:spacing w:line="240" w:lineRule="auto"/>
      <w:ind w:left="240"/>
    </w:pPr>
  </w:style>
  <w:style w:type="paragraph" w:styleId="Index2">
    <w:name w:val="index 2"/>
    <w:basedOn w:val="Normal"/>
    <w:next w:val="Normal"/>
    <w:autoRedefine/>
    <w:uiPriority w:val="99"/>
    <w:semiHidden/>
    <w:unhideWhenUsed/>
    <w:pPr>
      <w:spacing w:line="240" w:lineRule="auto"/>
      <w:ind w:left="480"/>
    </w:pPr>
  </w:style>
  <w:style w:type="paragraph" w:styleId="Index3">
    <w:name w:val="index 3"/>
    <w:basedOn w:val="Normal"/>
    <w:next w:val="Normal"/>
    <w:autoRedefine/>
    <w:uiPriority w:val="99"/>
    <w:semiHidden/>
    <w:unhideWhenUsed/>
    <w:pPr>
      <w:spacing w:line="240" w:lineRule="auto"/>
      <w:ind w:left="720"/>
    </w:pPr>
  </w:style>
  <w:style w:type="paragraph" w:styleId="Index4">
    <w:name w:val="index 4"/>
    <w:basedOn w:val="Normal"/>
    <w:next w:val="Normal"/>
    <w:autoRedefine/>
    <w:uiPriority w:val="99"/>
    <w:semiHidden/>
    <w:unhideWhenUsed/>
    <w:pPr>
      <w:spacing w:line="240" w:lineRule="auto"/>
      <w:ind w:left="960"/>
    </w:pPr>
  </w:style>
  <w:style w:type="paragraph" w:styleId="Index5">
    <w:name w:val="index 5"/>
    <w:basedOn w:val="Normal"/>
    <w:next w:val="Normal"/>
    <w:autoRedefine/>
    <w:uiPriority w:val="99"/>
    <w:semiHidden/>
    <w:unhideWhenUsed/>
    <w:pPr>
      <w:spacing w:line="240" w:lineRule="auto"/>
      <w:ind w:left="1200"/>
    </w:pPr>
  </w:style>
  <w:style w:type="paragraph" w:styleId="Index6">
    <w:name w:val="index 6"/>
    <w:basedOn w:val="Normal"/>
    <w:next w:val="Normal"/>
    <w:autoRedefine/>
    <w:uiPriority w:val="99"/>
    <w:semiHidden/>
    <w:unhideWhenUsed/>
    <w:pPr>
      <w:spacing w:line="240" w:lineRule="auto"/>
      <w:ind w:left="1440"/>
    </w:pPr>
  </w:style>
  <w:style w:type="paragraph" w:styleId="Index7">
    <w:name w:val="index 7"/>
    <w:basedOn w:val="Normal"/>
    <w:next w:val="Normal"/>
    <w:autoRedefine/>
    <w:uiPriority w:val="99"/>
    <w:semiHidden/>
    <w:unhideWhenUsed/>
    <w:pPr>
      <w:spacing w:line="240" w:lineRule="auto"/>
      <w:ind w:left="1680"/>
    </w:pPr>
  </w:style>
  <w:style w:type="paragraph" w:styleId="Index8">
    <w:name w:val="index 8"/>
    <w:basedOn w:val="Normal"/>
    <w:next w:val="Normal"/>
    <w:autoRedefine/>
    <w:uiPriority w:val="99"/>
    <w:semiHidden/>
    <w:unhideWhenUsed/>
    <w:pPr>
      <w:spacing w:line="240" w:lineRule="auto"/>
      <w:ind w:left="1920"/>
    </w:pPr>
  </w:style>
  <w:style w:type="paragraph" w:styleId="Index9">
    <w:name w:val="index 9"/>
    <w:basedOn w:val="Normal"/>
    <w:next w:val="Normal"/>
    <w:autoRedefine/>
    <w:uiPriority w:val="99"/>
    <w:semiHidden/>
    <w:unhideWhenUsed/>
    <w:pPr>
      <w:spacing w:line="240" w:lineRule="auto"/>
      <w:ind w:left="2160"/>
    </w:pPr>
  </w:style>
  <w:style w:type="paragraph" w:styleId="IndexHeading">
    <w:name w:val="index heading"/>
    <w:basedOn w:val="Normal"/>
    <w:next w:val="Index1"/>
    <w:uiPriority w:val="99"/>
    <w:semiHidden/>
    <w:unhideWhenUsed/>
    <w:rPr>
      <w:b/>
      <w:bCs/>
    </w:rPr>
  </w:style>
  <w:style w:type="paragraph" w:styleId="IntenseQuote">
    <w:name w:val="Intense Quote"/>
    <w:basedOn w:val="Normal"/>
    <w:next w:val="Normal"/>
    <w:link w:val="IntenseQuoteChar"/>
    <w:uiPriority w:val="30"/>
    <w:qFormat/>
    <w:rsid w:val="00D51483"/>
    <w:pPr>
      <w:spacing w:before="100" w:beforeAutospacing="1" w:after="240"/>
      <w:ind w:left="936" w:right="936"/>
      <w:jc w:val="center"/>
    </w:pPr>
    <w:rPr>
      <w:sz w:val="26"/>
      <w:szCs w:val="26"/>
    </w:rPr>
  </w:style>
  <w:style w:type="character" w:customStyle="1" w:styleId="IntenseQuoteChar">
    <w:name w:val="Intense Quote Char"/>
    <w:link w:val="IntenseQuote"/>
    <w:uiPriority w:val="30"/>
    <w:rsid w:val="00D51483"/>
    <w:rPr>
      <w:rFonts w:ascii="Corbel" w:eastAsia="SimSun" w:hAnsi="Corbel" w:cs="Times New Roman"/>
      <w:sz w:val="26"/>
      <w:szCs w:val="26"/>
    </w:rPr>
  </w:style>
  <w:style w:type="paragraph" w:styleId="List">
    <w:name w:val="List"/>
    <w:basedOn w:val="Normal"/>
    <w:uiPriority w:val="99"/>
    <w:semiHidden/>
    <w:unhideWhenUsed/>
    <w:pPr>
      <w:ind w:left="360"/>
      <w:contextualSpacing/>
    </w:pPr>
  </w:style>
  <w:style w:type="paragraph" w:styleId="List2">
    <w:name w:val="List 2"/>
    <w:basedOn w:val="Normal"/>
    <w:uiPriority w:val="99"/>
    <w:semiHidden/>
    <w:unhideWhenUsed/>
    <w:pPr>
      <w:ind w:left="720"/>
      <w:contextualSpacing/>
    </w:pPr>
  </w:style>
  <w:style w:type="paragraph" w:styleId="List3">
    <w:name w:val="List 3"/>
    <w:basedOn w:val="Normal"/>
    <w:uiPriority w:val="99"/>
    <w:semiHidden/>
    <w:unhideWhenUsed/>
    <w:pPr>
      <w:ind w:left="1080"/>
      <w:contextualSpacing/>
    </w:pPr>
  </w:style>
  <w:style w:type="paragraph" w:styleId="List4">
    <w:name w:val="List 4"/>
    <w:basedOn w:val="Normal"/>
    <w:uiPriority w:val="99"/>
    <w:semiHidden/>
    <w:unhideWhenUsed/>
    <w:pPr>
      <w:ind w:left="1440"/>
      <w:contextualSpacing/>
    </w:pPr>
  </w:style>
  <w:style w:type="paragraph" w:styleId="List5">
    <w:name w:val="List 5"/>
    <w:basedOn w:val="Normal"/>
    <w:uiPriority w:val="99"/>
    <w:semiHidden/>
    <w:unhideWhenUsed/>
    <w:pPr>
      <w:ind w:left="1800"/>
      <w:contextualSpacing/>
    </w:pPr>
  </w:style>
  <w:style w:type="paragraph" w:styleId="ListBullet">
    <w:name w:val="List Bullet"/>
    <w:basedOn w:val="Normal"/>
    <w:uiPriority w:val="9"/>
    <w:unhideWhenUsed/>
    <w:pPr>
      <w:numPr>
        <w:numId w:val="1"/>
      </w:numPr>
      <w:contextualSpacing/>
    </w:pPr>
  </w:style>
  <w:style w:type="paragraph" w:styleId="ListBullet2">
    <w:name w:val="List Bullet 2"/>
    <w:basedOn w:val="Normal"/>
    <w:uiPriority w:val="99"/>
    <w:semiHidden/>
    <w:unhideWhenUsed/>
    <w:pPr>
      <w:numPr>
        <w:numId w:val="2"/>
      </w:numPr>
      <w:ind w:firstLine="0"/>
      <w:contextualSpacing/>
    </w:pPr>
  </w:style>
  <w:style w:type="paragraph" w:styleId="ListBullet3">
    <w:name w:val="List Bullet 3"/>
    <w:basedOn w:val="Normal"/>
    <w:uiPriority w:val="99"/>
    <w:semiHidden/>
    <w:unhideWhenUsed/>
    <w:pPr>
      <w:numPr>
        <w:numId w:val="3"/>
      </w:numPr>
      <w:ind w:firstLine="0"/>
      <w:contextualSpacing/>
    </w:pPr>
  </w:style>
  <w:style w:type="paragraph" w:styleId="ListBullet4">
    <w:name w:val="List Bullet 4"/>
    <w:basedOn w:val="Normal"/>
    <w:uiPriority w:val="99"/>
    <w:semiHidden/>
    <w:unhideWhenUsed/>
    <w:pPr>
      <w:numPr>
        <w:numId w:val="4"/>
      </w:numPr>
      <w:ind w:firstLine="0"/>
      <w:contextualSpacing/>
    </w:pPr>
  </w:style>
  <w:style w:type="paragraph" w:styleId="ListBullet5">
    <w:name w:val="List Bullet 5"/>
    <w:basedOn w:val="Normal"/>
    <w:uiPriority w:val="99"/>
    <w:semiHidden/>
    <w:unhideWhenUsed/>
    <w:pPr>
      <w:numPr>
        <w:numId w:val="5"/>
      </w:numPr>
      <w:ind w:firstLine="0"/>
      <w:contextualSpacing/>
    </w:pPr>
  </w:style>
  <w:style w:type="paragraph" w:styleId="ListContinue">
    <w:name w:val="List Continue"/>
    <w:basedOn w:val="Normal"/>
    <w:uiPriority w:val="99"/>
    <w:semiHidden/>
    <w:unhideWhenUsed/>
    <w:pPr>
      <w:spacing w:after="120"/>
      <w:ind w:left="360"/>
      <w:contextualSpacing/>
    </w:pPr>
  </w:style>
  <w:style w:type="paragraph" w:styleId="ListContinue2">
    <w:name w:val="List Continue 2"/>
    <w:basedOn w:val="Normal"/>
    <w:uiPriority w:val="99"/>
    <w:semiHidden/>
    <w:unhideWhenUsed/>
    <w:pPr>
      <w:spacing w:after="120"/>
      <w:ind w:left="720"/>
      <w:contextualSpacing/>
    </w:pPr>
  </w:style>
  <w:style w:type="paragraph" w:styleId="ListContinue3">
    <w:name w:val="List Continue 3"/>
    <w:basedOn w:val="Normal"/>
    <w:uiPriority w:val="99"/>
    <w:semiHidden/>
    <w:unhideWhenUsed/>
    <w:pPr>
      <w:spacing w:after="120"/>
      <w:ind w:left="1080"/>
      <w:contextualSpacing/>
    </w:pPr>
  </w:style>
  <w:style w:type="paragraph" w:styleId="ListContinue4">
    <w:name w:val="List Continue 4"/>
    <w:basedOn w:val="Normal"/>
    <w:uiPriority w:val="99"/>
    <w:semiHidden/>
    <w:unhideWhenUsed/>
    <w:pPr>
      <w:spacing w:after="120"/>
      <w:ind w:left="1440"/>
      <w:contextualSpacing/>
    </w:pPr>
  </w:style>
  <w:style w:type="paragraph" w:styleId="ListContinue5">
    <w:name w:val="List Continue 5"/>
    <w:basedOn w:val="Normal"/>
    <w:uiPriority w:val="99"/>
    <w:semiHidden/>
    <w:unhideWhenUsed/>
    <w:pPr>
      <w:spacing w:after="120"/>
      <w:ind w:left="1800"/>
      <w:contextualSpacing/>
    </w:pPr>
  </w:style>
  <w:style w:type="paragraph" w:styleId="ListNumber">
    <w:name w:val="List Number"/>
    <w:basedOn w:val="Normal"/>
    <w:uiPriority w:val="9"/>
    <w:unhideWhenUsed/>
    <w:pPr>
      <w:numPr>
        <w:numId w:val="6"/>
      </w:numPr>
      <w:contextualSpacing/>
    </w:pPr>
  </w:style>
  <w:style w:type="paragraph" w:styleId="ListNumber2">
    <w:name w:val="List Number 2"/>
    <w:basedOn w:val="Normal"/>
    <w:uiPriority w:val="99"/>
    <w:semiHidden/>
    <w:unhideWhenUsed/>
    <w:pPr>
      <w:numPr>
        <w:numId w:val="7"/>
      </w:numPr>
      <w:ind w:firstLine="0"/>
      <w:contextualSpacing/>
    </w:pPr>
  </w:style>
  <w:style w:type="paragraph" w:styleId="ListNumber3">
    <w:name w:val="List Number 3"/>
    <w:basedOn w:val="Normal"/>
    <w:uiPriority w:val="99"/>
    <w:semiHidden/>
    <w:unhideWhenUsed/>
    <w:pPr>
      <w:numPr>
        <w:numId w:val="8"/>
      </w:numPr>
      <w:ind w:firstLine="0"/>
      <w:contextualSpacing/>
    </w:pPr>
  </w:style>
  <w:style w:type="paragraph" w:styleId="ListNumber4">
    <w:name w:val="List Number 4"/>
    <w:basedOn w:val="Normal"/>
    <w:uiPriority w:val="99"/>
    <w:semiHidden/>
    <w:unhideWhenUsed/>
    <w:pPr>
      <w:numPr>
        <w:numId w:val="9"/>
      </w:numPr>
      <w:ind w:firstLine="0"/>
      <w:contextualSpacing/>
    </w:pPr>
  </w:style>
  <w:style w:type="paragraph" w:styleId="ListNumber5">
    <w:name w:val="List Number 5"/>
    <w:basedOn w:val="Normal"/>
    <w:uiPriority w:val="99"/>
    <w:semiHidden/>
    <w:unhideWhenUsed/>
    <w:pPr>
      <w:numPr>
        <w:numId w:val="10"/>
      </w:numPr>
      <w:ind w:firstLine="0"/>
      <w:contextualSpacing/>
    </w:pPr>
  </w:style>
  <w:style w:type="paragraph" w:styleId="ListParagraph">
    <w:name w:val="List Paragraph"/>
    <w:basedOn w:val="Normal"/>
    <w:uiPriority w:val="34"/>
    <w:qFormat/>
    <w:pPr>
      <w:ind w:left="720"/>
      <w:contextualSpacing/>
    </w:pPr>
  </w:style>
  <w:style w:type="paragraph" w:styleId="MacroText">
    <w:name w:val="macro"/>
    <w:link w:val="MacroTextChar"/>
    <w:uiPriority w:val="99"/>
    <w:semiHidden/>
    <w:unhideWhenUsed/>
    <w:rsid w:val="00FF2002"/>
    <w:pPr>
      <w:tabs>
        <w:tab w:val="left" w:pos="480"/>
        <w:tab w:val="left" w:pos="960"/>
        <w:tab w:val="left" w:pos="1440"/>
        <w:tab w:val="left" w:pos="1920"/>
        <w:tab w:val="left" w:pos="2400"/>
        <w:tab w:val="left" w:pos="2880"/>
        <w:tab w:val="left" w:pos="3360"/>
        <w:tab w:val="left" w:pos="3840"/>
        <w:tab w:val="left" w:pos="4320"/>
      </w:tabs>
      <w:spacing w:after="160" w:line="252" w:lineRule="auto"/>
      <w:jc w:val="both"/>
    </w:pPr>
    <w:rPr>
      <w:rFonts w:ascii="Consolas" w:hAnsi="Consolas" w:cs="Consolas"/>
      <w:kern w:val="24"/>
      <w:sz w:val="22"/>
      <w:lang w:val="en-US" w:eastAsia="ja-JP"/>
    </w:rPr>
  </w:style>
  <w:style w:type="character" w:customStyle="1" w:styleId="MacroTextChar">
    <w:name w:val="Macro Text Char"/>
    <w:link w:val="MacroText"/>
    <w:uiPriority w:val="99"/>
    <w:semiHidden/>
    <w:rsid w:val="00FF2002"/>
    <w:rPr>
      <w:rFonts w:ascii="Consolas" w:hAnsi="Consolas" w:cs="Consolas"/>
      <w:kern w:val="24"/>
      <w:sz w:val="22"/>
      <w:szCs w:val="20"/>
    </w:rPr>
  </w:style>
  <w:style w:type="paragraph" w:styleId="MessageHeader">
    <w:name w:val="Message Header"/>
    <w:basedOn w:val="Normal"/>
    <w:link w:val="MessageHeaderChar"/>
    <w:uiPriority w:val="99"/>
    <w:semiHidden/>
    <w:unhideWhenUsed/>
    <w:pPr>
      <w:pBdr>
        <w:top w:val="single" w:sz="6" w:space="1" w:color="auto"/>
        <w:left w:val="single" w:sz="6" w:space="1" w:color="auto"/>
        <w:bottom w:val="single" w:sz="6" w:space="1" w:color="auto"/>
        <w:right w:val="single" w:sz="6" w:space="1" w:color="auto"/>
      </w:pBdr>
      <w:shd w:val="pct20" w:color="auto" w:fill="auto"/>
      <w:spacing w:line="240" w:lineRule="auto"/>
      <w:ind w:left="1080"/>
    </w:pPr>
  </w:style>
  <w:style w:type="character" w:customStyle="1" w:styleId="MessageHeaderChar">
    <w:name w:val="Message Header Char"/>
    <w:link w:val="MessageHeader"/>
    <w:uiPriority w:val="99"/>
    <w:semiHidden/>
    <w:rPr>
      <w:rFonts w:ascii="Corbel" w:eastAsia="SimSun" w:hAnsi="Corbel" w:cs="Times New Roman"/>
      <w:kern w:val="24"/>
      <w:shd w:val="pct20" w:color="auto" w:fill="auto"/>
    </w:rPr>
  </w:style>
  <w:style w:type="paragraph" w:styleId="NormalWeb">
    <w:name w:val="Normal (Web)"/>
    <w:basedOn w:val="Normal"/>
    <w:uiPriority w:val="99"/>
    <w:semiHidden/>
    <w:unhideWhenUsed/>
    <w:rPr>
      <w:rFonts w:ascii="Times New Roman" w:hAnsi="Times New Roman"/>
    </w:rPr>
  </w:style>
  <w:style w:type="paragraph" w:styleId="NormalIndent">
    <w:name w:val="Normal Indent"/>
    <w:basedOn w:val="Normal"/>
    <w:uiPriority w:val="99"/>
    <w:semiHidden/>
    <w:unhideWhenUsed/>
    <w:pPr>
      <w:ind w:left="720"/>
    </w:pPr>
  </w:style>
  <w:style w:type="paragraph" w:styleId="NoteHeading">
    <w:name w:val="Note Heading"/>
    <w:basedOn w:val="Normal"/>
    <w:next w:val="Normal"/>
    <w:link w:val="NoteHeadingChar"/>
    <w:uiPriority w:val="99"/>
    <w:semiHidden/>
    <w:unhideWhenUsed/>
    <w:pPr>
      <w:spacing w:line="240" w:lineRule="auto"/>
    </w:pPr>
  </w:style>
  <w:style w:type="character" w:customStyle="1" w:styleId="NoteHeadingChar">
    <w:name w:val="Note Heading Char"/>
    <w:link w:val="NoteHeading"/>
    <w:uiPriority w:val="99"/>
    <w:semiHidden/>
    <w:rPr>
      <w:kern w:val="24"/>
    </w:rPr>
  </w:style>
  <w:style w:type="paragraph" w:styleId="PlainText">
    <w:name w:val="Plain Text"/>
    <w:basedOn w:val="Normal"/>
    <w:link w:val="PlainTextChar"/>
    <w:uiPriority w:val="99"/>
    <w:semiHidden/>
    <w:unhideWhenUsed/>
    <w:rsid w:val="00FF2002"/>
    <w:pPr>
      <w:spacing w:line="240" w:lineRule="auto"/>
    </w:pPr>
    <w:rPr>
      <w:rFonts w:ascii="Consolas" w:hAnsi="Consolas" w:cs="Consolas"/>
      <w:sz w:val="22"/>
      <w:szCs w:val="21"/>
    </w:rPr>
  </w:style>
  <w:style w:type="character" w:customStyle="1" w:styleId="PlainTextChar">
    <w:name w:val="Plain Text Char"/>
    <w:link w:val="PlainText"/>
    <w:uiPriority w:val="99"/>
    <w:semiHidden/>
    <w:rsid w:val="00FF2002"/>
    <w:rPr>
      <w:rFonts w:ascii="Consolas" w:hAnsi="Consolas" w:cs="Consolas"/>
      <w:kern w:val="24"/>
      <w:sz w:val="22"/>
      <w:szCs w:val="21"/>
    </w:rPr>
  </w:style>
  <w:style w:type="paragraph" w:styleId="Quote">
    <w:name w:val="Quote"/>
    <w:basedOn w:val="Normal"/>
    <w:next w:val="Normal"/>
    <w:link w:val="QuoteChar"/>
    <w:uiPriority w:val="29"/>
    <w:qFormat/>
    <w:rsid w:val="005F1CAF"/>
    <w:pPr>
      <w:spacing w:before="200" w:line="264" w:lineRule="auto"/>
      <w:ind w:left="864" w:right="864"/>
    </w:pPr>
    <w:rPr>
      <w:rFonts w:ascii="Arial" w:hAnsi="Arial"/>
      <w:iCs/>
      <w:szCs w:val="24"/>
    </w:rPr>
  </w:style>
  <w:style w:type="character" w:customStyle="1" w:styleId="QuoteChar">
    <w:name w:val="Quote Char"/>
    <w:link w:val="Quote"/>
    <w:uiPriority w:val="29"/>
    <w:rsid w:val="005F1CAF"/>
    <w:rPr>
      <w:rFonts w:ascii="Arial" w:hAnsi="Arial"/>
      <w:iCs/>
      <w:sz w:val="24"/>
      <w:szCs w:val="24"/>
      <w:lang w:val="en-US" w:eastAsia="ja-JP"/>
    </w:rPr>
  </w:style>
  <w:style w:type="paragraph" w:styleId="Salutation">
    <w:name w:val="Salutation"/>
    <w:basedOn w:val="Normal"/>
    <w:next w:val="Normal"/>
    <w:link w:val="SalutationChar"/>
    <w:uiPriority w:val="99"/>
    <w:semiHidden/>
    <w:unhideWhenUsed/>
  </w:style>
  <w:style w:type="character" w:customStyle="1" w:styleId="SalutationChar">
    <w:name w:val="Salutation Char"/>
    <w:link w:val="Salutation"/>
    <w:uiPriority w:val="99"/>
    <w:semiHidden/>
    <w:rPr>
      <w:kern w:val="24"/>
    </w:rPr>
  </w:style>
  <w:style w:type="paragraph" w:styleId="Signature">
    <w:name w:val="Signature"/>
    <w:basedOn w:val="Normal"/>
    <w:link w:val="SignatureChar"/>
    <w:uiPriority w:val="99"/>
    <w:semiHidden/>
    <w:unhideWhenUsed/>
    <w:pPr>
      <w:spacing w:line="240" w:lineRule="auto"/>
      <w:ind w:left="4320"/>
    </w:pPr>
  </w:style>
  <w:style w:type="character" w:customStyle="1" w:styleId="SignatureChar">
    <w:name w:val="Signature Char"/>
    <w:link w:val="Signature"/>
    <w:uiPriority w:val="99"/>
    <w:semiHidden/>
    <w:rPr>
      <w:kern w:val="24"/>
    </w:rPr>
  </w:style>
  <w:style w:type="paragraph" w:styleId="TableofAuthorities">
    <w:name w:val="table of authorities"/>
    <w:basedOn w:val="Normal"/>
    <w:next w:val="Normal"/>
    <w:uiPriority w:val="99"/>
    <w:semiHidden/>
    <w:unhideWhenUsed/>
    <w:pPr>
      <w:ind w:left="240"/>
    </w:pPr>
  </w:style>
  <w:style w:type="paragraph" w:styleId="TableofFigures">
    <w:name w:val="table of figures"/>
    <w:basedOn w:val="Normal"/>
    <w:next w:val="Normal"/>
    <w:uiPriority w:val="99"/>
    <w:unhideWhenUsed/>
    <w:pPr>
      <w:spacing w:after="0"/>
      <w:ind w:left="480" w:hanging="480"/>
      <w:jc w:val="left"/>
    </w:pPr>
    <w:rPr>
      <w:rFonts w:asciiTheme="minorHAnsi" w:hAnsiTheme="minorHAnsi"/>
      <w:b/>
      <w:bCs/>
      <w:sz w:val="20"/>
      <w:szCs w:val="20"/>
    </w:rPr>
  </w:style>
  <w:style w:type="paragraph" w:styleId="TOAHeading">
    <w:name w:val="toa heading"/>
    <w:basedOn w:val="Normal"/>
    <w:next w:val="Normal"/>
    <w:uiPriority w:val="99"/>
    <w:semiHidden/>
    <w:unhideWhenUsed/>
    <w:pPr>
      <w:spacing w:before="120"/>
    </w:pPr>
    <w:rPr>
      <w:b/>
      <w:bCs/>
    </w:rPr>
  </w:style>
  <w:style w:type="paragraph" w:styleId="TOC4">
    <w:name w:val="toc 4"/>
    <w:basedOn w:val="Normal"/>
    <w:next w:val="Normal"/>
    <w:autoRedefine/>
    <w:uiPriority w:val="39"/>
    <w:semiHidden/>
    <w:unhideWhenUsed/>
    <w:pPr>
      <w:spacing w:after="100"/>
      <w:ind w:left="720"/>
    </w:pPr>
  </w:style>
  <w:style w:type="paragraph" w:styleId="TOC5">
    <w:name w:val="toc 5"/>
    <w:basedOn w:val="Normal"/>
    <w:next w:val="Normal"/>
    <w:autoRedefine/>
    <w:uiPriority w:val="39"/>
    <w:semiHidden/>
    <w:unhideWhenUsed/>
    <w:pPr>
      <w:spacing w:after="100"/>
      <w:ind w:left="960"/>
    </w:pPr>
  </w:style>
  <w:style w:type="paragraph" w:styleId="TOC6">
    <w:name w:val="toc 6"/>
    <w:basedOn w:val="Normal"/>
    <w:next w:val="Normal"/>
    <w:autoRedefine/>
    <w:uiPriority w:val="39"/>
    <w:semiHidden/>
    <w:unhideWhenUsed/>
    <w:pPr>
      <w:spacing w:after="100"/>
      <w:ind w:left="1200"/>
    </w:pPr>
  </w:style>
  <w:style w:type="paragraph" w:styleId="TOC7">
    <w:name w:val="toc 7"/>
    <w:basedOn w:val="Normal"/>
    <w:next w:val="Normal"/>
    <w:autoRedefine/>
    <w:uiPriority w:val="39"/>
    <w:semiHidden/>
    <w:unhideWhenUsed/>
    <w:pPr>
      <w:spacing w:after="100"/>
      <w:ind w:left="1440"/>
    </w:pPr>
  </w:style>
  <w:style w:type="paragraph" w:styleId="TOC8">
    <w:name w:val="toc 8"/>
    <w:basedOn w:val="Normal"/>
    <w:next w:val="Normal"/>
    <w:autoRedefine/>
    <w:uiPriority w:val="39"/>
    <w:semiHidden/>
    <w:unhideWhenUsed/>
    <w:pPr>
      <w:spacing w:after="100"/>
      <w:ind w:left="1680"/>
    </w:pPr>
  </w:style>
  <w:style w:type="paragraph" w:styleId="TOC9">
    <w:name w:val="toc 9"/>
    <w:basedOn w:val="Normal"/>
    <w:next w:val="Normal"/>
    <w:autoRedefine/>
    <w:uiPriority w:val="39"/>
    <w:semiHidden/>
    <w:unhideWhenUsed/>
    <w:pPr>
      <w:spacing w:after="100"/>
      <w:ind w:left="1920"/>
    </w:pPr>
  </w:style>
  <w:style w:type="character" w:styleId="EndnoteReference">
    <w:name w:val="endnote reference"/>
    <w:uiPriority w:val="99"/>
    <w:unhideWhenUsed/>
    <w:rPr>
      <w:vertAlign w:val="superscript"/>
    </w:rPr>
  </w:style>
  <w:style w:type="character" w:styleId="FootnoteReference">
    <w:name w:val="footnote reference"/>
    <w:uiPriority w:val="5"/>
    <w:unhideWhenUsed/>
    <w:rPr>
      <w:vertAlign w:val="superscript"/>
    </w:rPr>
  </w:style>
  <w:style w:type="table" w:customStyle="1" w:styleId="APAReport">
    <w:name w:val="APA Report"/>
    <w:basedOn w:val="TableNormal"/>
    <w:uiPriority w:val="99"/>
    <w:rsid w:val="00BF4184"/>
    <w:tblPr>
      <w:tblBorders>
        <w:top w:val="single" w:sz="12" w:space="0" w:color="auto"/>
        <w:bottom w:val="single" w:sz="12" w:space="0" w:color="auto"/>
      </w:tblBorders>
    </w:tblPr>
    <w:tblStylePr w:type="firstRow">
      <w:rPr>
        <w:rFonts w:ascii="Corbel" w:hAnsi="Corbel"/>
      </w:rPr>
      <w:tblPr/>
      <w:trPr>
        <w:tblHeader/>
      </w:trPr>
      <w:tcPr>
        <w:tcBorders>
          <w:top w:val="single" w:sz="12" w:space="0" w:color="auto"/>
          <w:left w:val="nil"/>
          <w:bottom w:val="single" w:sz="12" w:space="0" w:color="auto"/>
          <w:right w:val="nil"/>
          <w:insideH w:val="nil"/>
          <w:insideV w:val="nil"/>
          <w:tl2br w:val="nil"/>
          <w:tr2bl w:val="nil"/>
        </w:tcBorders>
      </w:tcPr>
    </w:tblStylePr>
  </w:style>
  <w:style w:type="paragraph" w:customStyle="1" w:styleId="TableFigure">
    <w:name w:val="Table/Figure"/>
    <w:basedOn w:val="Normal"/>
    <w:uiPriority w:val="39"/>
    <w:pPr>
      <w:spacing w:before="240"/>
      <w:contextualSpacing/>
    </w:pPr>
  </w:style>
  <w:style w:type="table" w:styleId="PlainTable1">
    <w:name w:val="Plain Table 1"/>
    <w:basedOn w:val="TableNormal"/>
    <w:uiPriority w:val="41"/>
    <w:rsid w:val="00E6004D"/>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styleId="CommentReference">
    <w:name w:val="annotation reference"/>
    <w:uiPriority w:val="99"/>
    <w:semiHidden/>
    <w:unhideWhenUsed/>
    <w:rsid w:val="00FF2002"/>
    <w:rPr>
      <w:sz w:val="22"/>
      <w:szCs w:val="16"/>
    </w:rPr>
  </w:style>
  <w:style w:type="paragraph" w:styleId="EndnoteText">
    <w:name w:val="endnote text"/>
    <w:basedOn w:val="Normal"/>
    <w:link w:val="EndnoteTextChar"/>
    <w:uiPriority w:val="99"/>
    <w:semiHidden/>
    <w:unhideWhenUsed/>
    <w:rsid w:val="00FF2002"/>
    <w:pPr>
      <w:spacing w:line="240" w:lineRule="auto"/>
    </w:pPr>
    <w:rPr>
      <w:sz w:val="22"/>
      <w:szCs w:val="20"/>
    </w:rPr>
  </w:style>
  <w:style w:type="character" w:customStyle="1" w:styleId="EndnoteTextChar">
    <w:name w:val="Endnote Text Char"/>
    <w:link w:val="EndnoteText"/>
    <w:uiPriority w:val="99"/>
    <w:semiHidden/>
    <w:rsid w:val="00FF2002"/>
    <w:rPr>
      <w:kern w:val="24"/>
      <w:sz w:val="22"/>
      <w:szCs w:val="20"/>
    </w:rPr>
  </w:style>
  <w:style w:type="character" w:styleId="HTMLCode">
    <w:name w:val="HTML Code"/>
    <w:uiPriority w:val="99"/>
    <w:semiHidden/>
    <w:unhideWhenUsed/>
    <w:rsid w:val="00FF2002"/>
    <w:rPr>
      <w:rFonts w:ascii="Consolas" w:hAnsi="Consolas"/>
      <w:sz w:val="22"/>
      <w:szCs w:val="20"/>
    </w:rPr>
  </w:style>
  <w:style w:type="character" w:styleId="HTMLKeyboard">
    <w:name w:val="HTML Keyboard"/>
    <w:uiPriority w:val="99"/>
    <w:semiHidden/>
    <w:unhideWhenUsed/>
    <w:rsid w:val="00FF2002"/>
    <w:rPr>
      <w:rFonts w:ascii="Consolas" w:hAnsi="Consolas"/>
      <w:sz w:val="22"/>
      <w:szCs w:val="20"/>
    </w:rPr>
  </w:style>
  <w:style w:type="character" w:styleId="HTMLTypewriter">
    <w:name w:val="HTML Typewriter"/>
    <w:uiPriority w:val="99"/>
    <w:semiHidden/>
    <w:unhideWhenUsed/>
    <w:rsid w:val="00FF2002"/>
    <w:rPr>
      <w:rFonts w:ascii="Consolas" w:hAnsi="Consolas"/>
      <w:sz w:val="22"/>
      <w:szCs w:val="20"/>
    </w:rPr>
  </w:style>
  <w:style w:type="character" w:styleId="IntenseEmphasis">
    <w:name w:val="Intense Emphasis"/>
    <w:uiPriority w:val="21"/>
    <w:qFormat/>
    <w:rsid w:val="00D51483"/>
    <w:rPr>
      <w:b/>
      <w:bCs/>
      <w:i/>
      <w:iCs/>
      <w:color w:val="auto"/>
    </w:rPr>
  </w:style>
  <w:style w:type="character" w:styleId="IntenseReference">
    <w:name w:val="Intense Reference"/>
    <w:uiPriority w:val="32"/>
    <w:qFormat/>
    <w:rsid w:val="00D51483"/>
    <w:rPr>
      <w:b/>
      <w:bCs/>
      <w:smallCaps/>
      <w:color w:val="auto"/>
      <w:u w:val="single"/>
    </w:rPr>
  </w:style>
  <w:style w:type="paragraph" w:styleId="TOCHeading">
    <w:name w:val="TOC Heading"/>
    <w:basedOn w:val="Heading1"/>
    <w:next w:val="Normal"/>
    <w:uiPriority w:val="39"/>
    <w:unhideWhenUsed/>
    <w:qFormat/>
    <w:rsid w:val="00D51483"/>
    <w:pPr>
      <w:outlineLvl w:val="9"/>
    </w:pPr>
  </w:style>
  <w:style w:type="character" w:styleId="FollowedHyperlink">
    <w:name w:val="FollowedHyperlink"/>
    <w:uiPriority w:val="99"/>
    <w:semiHidden/>
    <w:unhideWhenUsed/>
    <w:rsid w:val="009A6A3B"/>
    <w:rPr>
      <w:color w:val="757575"/>
      <w:u w:val="single"/>
    </w:rPr>
  </w:style>
  <w:style w:type="paragraph" w:customStyle="1" w:styleId="Title2">
    <w:name w:val="Title 2"/>
    <w:basedOn w:val="Normal"/>
    <w:uiPriority w:val="1"/>
    <w:rsid w:val="00B823AA"/>
    <w:pPr>
      <w:jc w:val="center"/>
    </w:pPr>
  </w:style>
  <w:style w:type="paragraph" w:styleId="Subtitle">
    <w:name w:val="Subtitle"/>
    <w:basedOn w:val="Normal"/>
    <w:next w:val="Normal"/>
    <w:link w:val="SubtitleChar"/>
    <w:uiPriority w:val="11"/>
    <w:qFormat/>
    <w:rsid w:val="00D51483"/>
    <w:pPr>
      <w:numPr>
        <w:ilvl w:val="1"/>
      </w:numPr>
      <w:spacing w:after="240"/>
      <w:jc w:val="center"/>
    </w:pPr>
    <w:rPr>
      <w:szCs w:val="24"/>
    </w:rPr>
  </w:style>
  <w:style w:type="character" w:customStyle="1" w:styleId="SubtitleChar">
    <w:name w:val="Subtitle Char"/>
    <w:link w:val="Subtitle"/>
    <w:uiPriority w:val="11"/>
    <w:rsid w:val="00D51483"/>
    <w:rPr>
      <w:rFonts w:ascii="Corbel" w:eastAsia="SimSun" w:hAnsi="Corbel" w:cs="Times New Roman"/>
      <w:sz w:val="24"/>
      <w:szCs w:val="24"/>
    </w:rPr>
  </w:style>
  <w:style w:type="character" w:styleId="SubtleEmphasis">
    <w:name w:val="Subtle Emphasis"/>
    <w:uiPriority w:val="19"/>
    <w:qFormat/>
    <w:rsid w:val="00D51483"/>
    <w:rPr>
      <w:i/>
      <w:iCs/>
      <w:color w:val="auto"/>
    </w:rPr>
  </w:style>
  <w:style w:type="character" w:styleId="SubtleReference">
    <w:name w:val="Subtle Reference"/>
    <w:uiPriority w:val="31"/>
    <w:qFormat/>
    <w:rsid w:val="00D51483"/>
    <w:rPr>
      <w:smallCaps/>
      <w:color w:val="auto"/>
      <w:u w:val="single" w:color="959595"/>
    </w:rPr>
  </w:style>
  <w:style w:type="character" w:styleId="BookTitle">
    <w:name w:val="Book Title"/>
    <w:uiPriority w:val="33"/>
    <w:qFormat/>
    <w:rsid w:val="00D51483"/>
    <w:rPr>
      <w:b/>
      <w:bCs/>
      <w:smallCaps/>
      <w:color w:val="auto"/>
    </w:rPr>
  </w:style>
  <w:style w:type="character" w:styleId="Hyperlink">
    <w:name w:val="Hyperlink"/>
    <w:uiPriority w:val="99"/>
    <w:unhideWhenUsed/>
    <w:rsid w:val="00D51483"/>
    <w:rPr>
      <w:color w:val="005DBA"/>
      <w:u w:val="single"/>
    </w:rPr>
  </w:style>
  <w:style w:type="character" w:styleId="UnresolvedMention">
    <w:name w:val="Unresolved Mention"/>
    <w:uiPriority w:val="99"/>
    <w:semiHidden/>
    <w:unhideWhenUsed/>
    <w:rsid w:val="00D51483"/>
    <w:rPr>
      <w:color w:val="808080"/>
      <w:shd w:val="clear" w:color="auto" w:fill="E6E6E6"/>
    </w:rPr>
  </w:style>
  <w:style w:type="table" w:styleId="ListTable6Colorful-Accent2">
    <w:name w:val="List Table 6 Colorful Accent 2"/>
    <w:basedOn w:val="TableNormal"/>
    <w:uiPriority w:val="51"/>
    <w:rsid w:val="00204990"/>
    <w:rPr>
      <w:color w:val="7B9B1E" w:themeColor="accent2" w:themeShade="BF"/>
    </w:rPr>
    <w:tblPr>
      <w:tblStyleRowBandSize w:val="1"/>
      <w:tblStyleColBandSize w:val="1"/>
      <w:tblBorders>
        <w:top w:val="single" w:sz="4" w:space="0" w:color="A5D028" w:themeColor="accent2"/>
        <w:bottom w:val="single" w:sz="4" w:space="0" w:color="A5D028" w:themeColor="accent2"/>
      </w:tblBorders>
    </w:tblPr>
    <w:tblStylePr w:type="firstRow">
      <w:rPr>
        <w:b/>
        <w:bCs/>
      </w:rPr>
      <w:tblPr/>
      <w:tcPr>
        <w:tcBorders>
          <w:bottom w:val="single" w:sz="4" w:space="0" w:color="A5D028" w:themeColor="accent2"/>
        </w:tcBorders>
      </w:tcPr>
    </w:tblStylePr>
    <w:tblStylePr w:type="lastRow">
      <w:rPr>
        <w:b/>
        <w:bCs/>
      </w:rPr>
      <w:tblPr/>
      <w:tcPr>
        <w:tcBorders>
          <w:top w:val="double" w:sz="4" w:space="0" w:color="A5D028" w:themeColor="accent2"/>
        </w:tcBorders>
      </w:tcPr>
    </w:tblStylePr>
    <w:tblStylePr w:type="firstCol">
      <w:rPr>
        <w:b/>
        <w:bCs/>
      </w:rPr>
    </w:tblStylePr>
    <w:tblStylePr w:type="lastCol">
      <w:rPr>
        <w:b/>
        <w:bCs/>
      </w:rPr>
    </w:tblStylePr>
    <w:tblStylePr w:type="band1Vert">
      <w:tblPr/>
      <w:tcPr>
        <w:shd w:val="clear" w:color="auto" w:fill="EDF6D2" w:themeFill="accent2" w:themeFillTint="33"/>
      </w:tcPr>
    </w:tblStylePr>
    <w:tblStylePr w:type="band1Horz">
      <w:tblPr/>
      <w:tcPr>
        <w:shd w:val="clear" w:color="auto" w:fill="EDF6D2" w:themeFill="accent2" w:themeFillTint="33"/>
      </w:tcPr>
    </w:tblStylePr>
  </w:style>
  <w:style w:type="paragraph" w:styleId="TOC1">
    <w:name w:val="toc 1"/>
    <w:basedOn w:val="Normal"/>
    <w:next w:val="Normal"/>
    <w:autoRedefine/>
    <w:uiPriority w:val="39"/>
    <w:unhideWhenUsed/>
    <w:rsid w:val="0008418C"/>
    <w:pPr>
      <w:tabs>
        <w:tab w:val="left" w:pos="480"/>
        <w:tab w:val="right" w:leader="dot" w:pos="9350"/>
      </w:tabs>
      <w:spacing w:after="100" w:line="240" w:lineRule="auto"/>
    </w:pPr>
  </w:style>
  <w:style w:type="paragraph" w:styleId="TOC2">
    <w:name w:val="toc 2"/>
    <w:basedOn w:val="Normal"/>
    <w:next w:val="Normal"/>
    <w:autoRedefine/>
    <w:uiPriority w:val="39"/>
    <w:unhideWhenUsed/>
    <w:rsid w:val="00AD1BAD"/>
    <w:pPr>
      <w:spacing w:after="100"/>
      <w:ind w:left="240"/>
    </w:pPr>
  </w:style>
  <w:style w:type="paragraph" w:styleId="TOC3">
    <w:name w:val="toc 3"/>
    <w:basedOn w:val="Normal"/>
    <w:next w:val="Normal"/>
    <w:autoRedefine/>
    <w:uiPriority w:val="39"/>
    <w:unhideWhenUsed/>
    <w:rsid w:val="00AD1BAD"/>
    <w:pPr>
      <w:spacing w:after="100"/>
      <w:ind w:left="480"/>
    </w:pPr>
  </w:style>
  <w:style w:type="table" w:styleId="ListTable6Colorful">
    <w:name w:val="List Table 6 Colorful"/>
    <w:basedOn w:val="TableNormal"/>
    <w:uiPriority w:val="51"/>
    <w:rsid w:val="004B44D4"/>
    <w:rPr>
      <w:color w:val="2C2C2C" w:themeColor="text1"/>
    </w:rPr>
    <w:tblPr>
      <w:tblStyleRowBandSize w:val="1"/>
      <w:tblStyleColBandSize w:val="1"/>
      <w:tblBorders>
        <w:top w:val="single" w:sz="4" w:space="0" w:color="2C2C2C" w:themeColor="text1"/>
        <w:bottom w:val="single" w:sz="4" w:space="0" w:color="2C2C2C" w:themeColor="text1"/>
      </w:tblBorders>
    </w:tblPr>
    <w:tblStylePr w:type="firstRow">
      <w:rPr>
        <w:b/>
        <w:bCs/>
      </w:rPr>
      <w:tblPr/>
      <w:tcPr>
        <w:tcBorders>
          <w:bottom w:val="single" w:sz="4" w:space="0" w:color="2C2C2C" w:themeColor="text1"/>
        </w:tcBorders>
      </w:tcPr>
    </w:tblStylePr>
    <w:tblStylePr w:type="lastRow">
      <w:rPr>
        <w:b/>
        <w:bCs/>
      </w:rPr>
      <w:tblPr/>
      <w:tcPr>
        <w:tcBorders>
          <w:top w:val="double" w:sz="4" w:space="0" w:color="2C2C2C" w:themeColor="text1"/>
        </w:tcBorders>
      </w:tcPr>
    </w:tblStylePr>
    <w:tblStylePr w:type="firstCol">
      <w:rPr>
        <w:b/>
        <w:bCs/>
      </w:rPr>
    </w:tblStylePr>
    <w:tblStylePr w:type="lastCol">
      <w:rPr>
        <w:b/>
        <w:bCs/>
      </w:rPr>
    </w:tblStylePr>
    <w:tblStylePr w:type="band1Vert">
      <w:tblPr/>
      <w:tcPr>
        <w:shd w:val="clear" w:color="auto" w:fill="D4D4D4" w:themeFill="text1" w:themeFillTint="33"/>
      </w:tcPr>
    </w:tblStylePr>
    <w:tblStylePr w:type="band1Horz">
      <w:tblPr/>
      <w:tcPr>
        <w:shd w:val="clear" w:color="auto" w:fill="D4D4D4" w:themeFill="text1" w:themeFillTint="33"/>
      </w:tcPr>
    </w:tblStylePr>
  </w:style>
  <w:style w:type="table" w:styleId="PlainTable3">
    <w:name w:val="Plain Table 3"/>
    <w:basedOn w:val="TableNormal"/>
    <w:uiPriority w:val="43"/>
    <w:rsid w:val="004B44D4"/>
    <w:tblPr>
      <w:tblStyleRowBandSize w:val="1"/>
      <w:tblStyleColBandSize w:val="1"/>
    </w:tblPr>
    <w:tblStylePr w:type="firstRow">
      <w:rPr>
        <w:b/>
        <w:bCs/>
        <w:caps/>
      </w:rPr>
      <w:tblPr/>
      <w:tcPr>
        <w:tcBorders>
          <w:bottom w:val="single" w:sz="4" w:space="0" w:color="959595"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959595"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styleId="LineNumber">
    <w:name w:val="line number"/>
    <w:basedOn w:val="DefaultParagraphFont"/>
    <w:uiPriority w:val="99"/>
    <w:semiHidden/>
    <w:unhideWhenUsed/>
    <w:rsid w:val="00B477A2"/>
  </w:style>
  <w:style w:type="paragraph" w:customStyle="1" w:styleId="Default">
    <w:name w:val="Default"/>
    <w:rsid w:val="00D57766"/>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2095090">
      <w:bodyDiv w:val="1"/>
      <w:marLeft w:val="0"/>
      <w:marRight w:val="0"/>
      <w:marTop w:val="0"/>
      <w:marBottom w:val="0"/>
      <w:divBdr>
        <w:top w:val="none" w:sz="0" w:space="0" w:color="auto"/>
        <w:left w:val="none" w:sz="0" w:space="0" w:color="auto"/>
        <w:bottom w:val="none" w:sz="0" w:space="0" w:color="auto"/>
        <w:right w:val="none" w:sz="0" w:space="0" w:color="auto"/>
      </w:divBdr>
    </w:div>
    <w:div w:id="106850216">
      <w:bodyDiv w:val="1"/>
      <w:marLeft w:val="0"/>
      <w:marRight w:val="0"/>
      <w:marTop w:val="0"/>
      <w:marBottom w:val="0"/>
      <w:divBdr>
        <w:top w:val="none" w:sz="0" w:space="0" w:color="auto"/>
        <w:left w:val="none" w:sz="0" w:space="0" w:color="auto"/>
        <w:bottom w:val="none" w:sz="0" w:space="0" w:color="auto"/>
        <w:right w:val="none" w:sz="0" w:space="0" w:color="auto"/>
      </w:divBdr>
    </w:div>
    <w:div w:id="130095204">
      <w:bodyDiv w:val="1"/>
      <w:marLeft w:val="0"/>
      <w:marRight w:val="0"/>
      <w:marTop w:val="0"/>
      <w:marBottom w:val="0"/>
      <w:divBdr>
        <w:top w:val="none" w:sz="0" w:space="0" w:color="auto"/>
        <w:left w:val="none" w:sz="0" w:space="0" w:color="auto"/>
        <w:bottom w:val="none" w:sz="0" w:space="0" w:color="auto"/>
        <w:right w:val="none" w:sz="0" w:space="0" w:color="auto"/>
      </w:divBdr>
    </w:div>
    <w:div w:id="141124265">
      <w:bodyDiv w:val="1"/>
      <w:marLeft w:val="0"/>
      <w:marRight w:val="0"/>
      <w:marTop w:val="0"/>
      <w:marBottom w:val="0"/>
      <w:divBdr>
        <w:top w:val="none" w:sz="0" w:space="0" w:color="auto"/>
        <w:left w:val="none" w:sz="0" w:space="0" w:color="auto"/>
        <w:bottom w:val="none" w:sz="0" w:space="0" w:color="auto"/>
        <w:right w:val="none" w:sz="0" w:space="0" w:color="auto"/>
      </w:divBdr>
    </w:div>
    <w:div w:id="142432652">
      <w:bodyDiv w:val="1"/>
      <w:marLeft w:val="0"/>
      <w:marRight w:val="0"/>
      <w:marTop w:val="0"/>
      <w:marBottom w:val="0"/>
      <w:divBdr>
        <w:top w:val="none" w:sz="0" w:space="0" w:color="auto"/>
        <w:left w:val="none" w:sz="0" w:space="0" w:color="auto"/>
        <w:bottom w:val="none" w:sz="0" w:space="0" w:color="auto"/>
        <w:right w:val="none" w:sz="0" w:space="0" w:color="auto"/>
      </w:divBdr>
    </w:div>
    <w:div w:id="145323657">
      <w:bodyDiv w:val="1"/>
      <w:marLeft w:val="0"/>
      <w:marRight w:val="0"/>
      <w:marTop w:val="0"/>
      <w:marBottom w:val="0"/>
      <w:divBdr>
        <w:top w:val="none" w:sz="0" w:space="0" w:color="auto"/>
        <w:left w:val="none" w:sz="0" w:space="0" w:color="auto"/>
        <w:bottom w:val="none" w:sz="0" w:space="0" w:color="auto"/>
        <w:right w:val="none" w:sz="0" w:space="0" w:color="auto"/>
      </w:divBdr>
    </w:div>
    <w:div w:id="148134600">
      <w:bodyDiv w:val="1"/>
      <w:marLeft w:val="0"/>
      <w:marRight w:val="0"/>
      <w:marTop w:val="0"/>
      <w:marBottom w:val="0"/>
      <w:divBdr>
        <w:top w:val="none" w:sz="0" w:space="0" w:color="auto"/>
        <w:left w:val="none" w:sz="0" w:space="0" w:color="auto"/>
        <w:bottom w:val="none" w:sz="0" w:space="0" w:color="auto"/>
        <w:right w:val="none" w:sz="0" w:space="0" w:color="auto"/>
      </w:divBdr>
    </w:div>
    <w:div w:id="162091295">
      <w:bodyDiv w:val="1"/>
      <w:marLeft w:val="0"/>
      <w:marRight w:val="0"/>
      <w:marTop w:val="0"/>
      <w:marBottom w:val="0"/>
      <w:divBdr>
        <w:top w:val="none" w:sz="0" w:space="0" w:color="auto"/>
        <w:left w:val="none" w:sz="0" w:space="0" w:color="auto"/>
        <w:bottom w:val="none" w:sz="0" w:space="0" w:color="auto"/>
        <w:right w:val="none" w:sz="0" w:space="0" w:color="auto"/>
      </w:divBdr>
    </w:div>
    <w:div w:id="166793764">
      <w:bodyDiv w:val="1"/>
      <w:marLeft w:val="0"/>
      <w:marRight w:val="0"/>
      <w:marTop w:val="0"/>
      <w:marBottom w:val="0"/>
      <w:divBdr>
        <w:top w:val="none" w:sz="0" w:space="0" w:color="auto"/>
        <w:left w:val="none" w:sz="0" w:space="0" w:color="auto"/>
        <w:bottom w:val="none" w:sz="0" w:space="0" w:color="auto"/>
        <w:right w:val="none" w:sz="0" w:space="0" w:color="auto"/>
      </w:divBdr>
    </w:div>
    <w:div w:id="199904252">
      <w:bodyDiv w:val="1"/>
      <w:marLeft w:val="0"/>
      <w:marRight w:val="0"/>
      <w:marTop w:val="0"/>
      <w:marBottom w:val="0"/>
      <w:divBdr>
        <w:top w:val="none" w:sz="0" w:space="0" w:color="auto"/>
        <w:left w:val="none" w:sz="0" w:space="0" w:color="auto"/>
        <w:bottom w:val="none" w:sz="0" w:space="0" w:color="auto"/>
        <w:right w:val="none" w:sz="0" w:space="0" w:color="auto"/>
      </w:divBdr>
    </w:div>
    <w:div w:id="227229676">
      <w:bodyDiv w:val="1"/>
      <w:marLeft w:val="0"/>
      <w:marRight w:val="0"/>
      <w:marTop w:val="0"/>
      <w:marBottom w:val="0"/>
      <w:divBdr>
        <w:top w:val="none" w:sz="0" w:space="0" w:color="auto"/>
        <w:left w:val="none" w:sz="0" w:space="0" w:color="auto"/>
        <w:bottom w:val="none" w:sz="0" w:space="0" w:color="auto"/>
        <w:right w:val="none" w:sz="0" w:space="0" w:color="auto"/>
      </w:divBdr>
    </w:div>
    <w:div w:id="251596066">
      <w:bodyDiv w:val="1"/>
      <w:marLeft w:val="0"/>
      <w:marRight w:val="0"/>
      <w:marTop w:val="0"/>
      <w:marBottom w:val="0"/>
      <w:divBdr>
        <w:top w:val="none" w:sz="0" w:space="0" w:color="auto"/>
        <w:left w:val="none" w:sz="0" w:space="0" w:color="auto"/>
        <w:bottom w:val="none" w:sz="0" w:space="0" w:color="auto"/>
        <w:right w:val="none" w:sz="0" w:space="0" w:color="auto"/>
      </w:divBdr>
    </w:div>
    <w:div w:id="301346642">
      <w:bodyDiv w:val="1"/>
      <w:marLeft w:val="0"/>
      <w:marRight w:val="0"/>
      <w:marTop w:val="0"/>
      <w:marBottom w:val="0"/>
      <w:divBdr>
        <w:top w:val="none" w:sz="0" w:space="0" w:color="auto"/>
        <w:left w:val="none" w:sz="0" w:space="0" w:color="auto"/>
        <w:bottom w:val="none" w:sz="0" w:space="0" w:color="auto"/>
        <w:right w:val="none" w:sz="0" w:space="0" w:color="auto"/>
      </w:divBdr>
    </w:div>
    <w:div w:id="302079092">
      <w:bodyDiv w:val="1"/>
      <w:marLeft w:val="0"/>
      <w:marRight w:val="0"/>
      <w:marTop w:val="0"/>
      <w:marBottom w:val="0"/>
      <w:divBdr>
        <w:top w:val="none" w:sz="0" w:space="0" w:color="auto"/>
        <w:left w:val="none" w:sz="0" w:space="0" w:color="auto"/>
        <w:bottom w:val="none" w:sz="0" w:space="0" w:color="auto"/>
        <w:right w:val="none" w:sz="0" w:space="0" w:color="auto"/>
      </w:divBdr>
    </w:div>
    <w:div w:id="314185887">
      <w:bodyDiv w:val="1"/>
      <w:marLeft w:val="0"/>
      <w:marRight w:val="0"/>
      <w:marTop w:val="0"/>
      <w:marBottom w:val="0"/>
      <w:divBdr>
        <w:top w:val="none" w:sz="0" w:space="0" w:color="auto"/>
        <w:left w:val="none" w:sz="0" w:space="0" w:color="auto"/>
        <w:bottom w:val="none" w:sz="0" w:space="0" w:color="auto"/>
        <w:right w:val="none" w:sz="0" w:space="0" w:color="auto"/>
      </w:divBdr>
    </w:div>
    <w:div w:id="367292930">
      <w:bodyDiv w:val="1"/>
      <w:marLeft w:val="0"/>
      <w:marRight w:val="0"/>
      <w:marTop w:val="0"/>
      <w:marBottom w:val="0"/>
      <w:divBdr>
        <w:top w:val="none" w:sz="0" w:space="0" w:color="auto"/>
        <w:left w:val="none" w:sz="0" w:space="0" w:color="auto"/>
        <w:bottom w:val="none" w:sz="0" w:space="0" w:color="auto"/>
        <w:right w:val="none" w:sz="0" w:space="0" w:color="auto"/>
      </w:divBdr>
    </w:div>
    <w:div w:id="398284552">
      <w:bodyDiv w:val="1"/>
      <w:marLeft w:val="0"/>
      <w:marRight w:val="0"/>
      <w:marTop w:val="0"/>
      <w:marBottom w:val="0"/>
      <w:divBdr>
        <w:top w:val="none" w:sz="0" w:space="0" w:color="auto"/>
        <w:left w:val="none" w:sz="0" w:space="0" w:color="auto"/>
        <w:bottom w:val="none" w:sz="0" w:space="0" w:color="auto"/>
        <w:right w:val="none" w:sz="0" w:space="0" w:color="auto"/>
      </w:divBdr>
    </w:div>
    <w:div w:id="417872405">
      <w:bodyDiv w:val="1"/>
      <w:marLeft w:val="0"/>
      <w:marRight w:val="0"/>
      <w:marTop w:val="0"/>
      <w:marBottom w:val="0"/>
      <w:divBdr>
        <w:top w:val="none" w:sz="0" w:space="0" w:color="auto"/>
        <w:left w:val="none" w:sz="0" w:space="0" w:color="auto"/>
        <w:bottom w:val="none" w:sz="0" w:space="0" w:color="auto"/>
        <w:right w:val="none" w:sz="0" w:space="0" w:color="auto"/>
      </w:divBdr>
    </w:div>
    <w:div w:id="436296827">
      <w:bodyDiv w:val="1"/>
      <w:marLeft w:val="0"/>
      <w:marRight w:val="0"/>
      <w:marTop w:val="0"/>
      <w:marBottom w:val="0"/>
      <w:divBdr>
        <w:top w:val="none" w:sz="0" w:space="0" w:color="auto"/>
        <w:left w:val="none" w:sz="0" w:space="0" w:color="auto"/>
        <w:bottom w:val="none" w:sz="0" w:space="0" w:color="auto"/>
        <w:right w:val="none" w:sz="0" w:space="0" w:color="auto"/>
      </w:divBdr>
    </w:div>
    <w:div w:id="440344881">
      <w:bodyDiv w:val="1"/>
      <w:marLeft w:val="0"/>
      <w:marRight w:val="0"/>
      <w:marTop w:val="0"/>
      <w:marBottom w:val="0"/>
      <w:divBdr>
        <w:top w:val="none" w:sz="0" w:space="0" w:color="auto"/>
        <w:left w:val="none" w:sz="0" w:space="0" w:color="auto"/>
        <w:bottom w:val="none" w:sz="0" w:space="0" w:color="auto"/>
        <w:right w:val="none" w:sz="0" w:space="0" w:color="auto"/>
      </w:divBdr>
    </w:div>
    <w:div w:id="456607757">
      <w:bodyDiv w:val="1"/>
      <w:marLeft w:val="0"/>
      <w:marRight w:val="0"/>
      <w:marTop w:val="0"/>
      <w:marBottom w:val="0"/>
      <w:divBdr>
        <w:top w:val="none" w:sz="0" w:space="0" w:color="auto"/>
        <w:left w:val="none" w:sz="0" w:space="0" w:color="auto"/>
        <w:bottom w:val="none" w:sz="0" w:space="0" w:color="auto"/>
        <w:right w:val="none" w:sz="0" w:space="0" w:color="auto"/>
      </w:divBdr>
    </w:div>
    <w:div w:id="499808108">
      <w:bodyDiv w:val="1"/>
      <w:marLeft w:val="0"/>
      <w:marRight w:val="0"/>
      <w:marTop w:val="0"/>
      <w:marBottom w:val="0"/>
      <w:divBdr>
        <w:top w:val="none" w:sz="0" w:space="0" w:color="auto"/>
        <w:left w:val="none" w:sz="0" w:space="0" w:color="auto"/>
        <w:bottom w:val="none" w:sz="0" w:space="0" w:color="auto"/>
        <w:right w:val="none" w:sz="0" w:space="0" w:color="auto"/>
      </w:divBdr>
    </w:div>
    <w:div w:id="538207495">
      <w:bodyDiv w:val="1"/>
      <w:marLeft w:val="0"/>
      <w:marRight w:val="0"/>
      <w:marTop w:val="0"/>
      <w:marBottom w:val="0"/>
      <w:divBdr>
        <w:top w:val="none" w:sz="0" w:space="0" w:color="auto"/>
        <w:left w:val="none" w:sz="0" w:space="0" w:color="auto"/>
        <w:bottom w:val="none" w:sz="0" w:space="0" w:color="auto"/>
        <w:right w:val="none" w:sz="0" w:space="0" w:color="auto"/>
      </w:divBdr>
    </w:div>
    <w:div w:id="574819007">
      <w:bodyDiv w:val="1"/>
      <w:marLeft w:val="0"/>
      <w:marRight w:val="0"/>
      <w:marTop w:val="0"/>
      <w:marBottom w:val="0"/>
      <w:divBdr>
        <w:top w:val="none" w:sz="0" w:space="0" w:color="auto"/>
        <w:left w:val="none" w:sz="0" w:space="0" w:color="auto"/>
        <w:bottom w:val="none" w:sz="0" w:space="0" w:color="auto"/>
        <w:right w:val="none" w:sz="0" w:space="0" w:color="auto"/>
      </w:divBdr>
    </w:div>
    <w:div w:id="597835333">
      <w:bodyDiv w:val="1"/>
      <w:marLeft w:val="0"/>
      <w:marRight w:val="0"/>
      <w:marTop w:val="0"/>
      <w:marBottom w:val="0"/>
      <w:divBdr>
        <w:top w:val="none" w:sz="0" w:space="0" w:color="auto"/>
        <w:left w:val="none" w:sz="0" w:space="0" w:color="auto"/>
        <w:bottom w:val="none" w:sz="0" w:space="0" w:color="auto"/>
        <w:right w:val="none" w:sz="0" w:space="0" w:color="auto"/>
      </w:divBdr>
    </w:div>
    <w:div w:id="656690609">
      <w:bodyDiv w:val="1"/>
      <w:marLeft w:val="0"/>
      <w:marRight w:val="0"/>
      <w:marTop w:val="0"/>
      <w:marBottom w:val="0"/>
      <w:divBdr>
        <w:top w:val="none" w:sz="0" w:space="0" w:color="auto"/>
        <w:left w:val="none" w:sz="0" w:space="0" w:color="auto"/>
        <w:bottom w:val="none" w:sz="0" w:space="0" w:color="auto"/>
        <w:right w:val="none" w:sz="0" w:space="0" w:color="auto"/>
      </w:divBdr>
    </w:div>
    <w:div w:id="662006741">
      <w:bodyDiv w:val="1"/>
      <w:marLeft w:val="0"/>
      <w:marRight w:val="0"/>
      <w:marTop w:val="0"/>
      <w:marBottom w:val="0"/>
      <w:divBdr>
        <w:top w:val="none" w:sz="0" w:space="0" w:color="auto"/>
        <w:left w:val="none" w:sz="0" w:space="0" w:color="auto"/>
        <w:bottom w:val="none" w:sz="0" w:space="0" w:color="auto"/>
        <w:right w:val="none" w:sz="0" w:space="0" w:color="auto"/>
      </w:divBdr>
    </w:div>
    <w:div w:id="668825515">
      <w:bodyDiv w:val="1"/>
      <w:marLeft w:val="0"/>
      <w:marRight w:val="0"/>
      <w:marTop w:val="0"/>
      <w:marBottom w:val="0"/>
      <w:divBdr>
        <w:top w:val="none" w:sz="0" w:space="0" w:color="auto"/>
        <w:left w:val="none" w:sz="0" w:space="0" w:color="auto"/>
        <w:bottom w:val="none" w:sz="0" w:space="0" w:color="auto"/>
        <w:right w:val="none" w:sz="0" w:space="0" w:color="auto"/>
      </w:divBdr>
    </w:div>
    <w:div w:id="682901687">
      <w:bodyDiv w:val="1"/>
      <w:marLeft w:val="0"/>
      <w:marRight w:val="0"/>
      <w:marTop w:val="0"/>
      <w:marBottom w:val="0"/>
      <w:divBdr>
        <w:top w:val="none" w:sz="0" w:space="0" w:color="auto"/>
        <w:left w:val="none" w:sz="0" w:space="0" w:color="auto"/>
        <w:bottom w:val="none" w:sz="0" w:space="0" w:color="auto"/>
        <w:right w:val="none" w:sz="0" w:space="0" w:color="auto"/>
      </w:divBdr>
    </w:div>
    <w:div w:id="708071831">
      <w:bodyDiv w:val="1"/>
      <w:marLeft w:val="0"/>
      <w:marRight w:val="0"/>
      <w:marTop w:val="0"/>
      <w:marBottom w:val="0"/>
      <w:divBdr>
        <w:top w:val="none" w:sz="0" w:space="0" w:color="auto"/>
        <w:left w:val="none" w:sz="0" w:space="0" w:color="auto"/>
        <w:bottom w:val="none" w:sz="0" w:space="0" w:color="auto"/>
        <w:right w:val="none" w:sz="0" w:space="0" w:color="auto"/>
      </w:divBdr>
    </w:div>
    <w:div w:id="742485295">
      <w:bodyDiv w:val="1"/>
      <w:marLeft w:val="0"/>
      <w:marRight w:val="0"/>
      <w:marTop w:val="0"/>
      <w:marBottom w:val="0"/>
      <w:divBdr>
        <w:top w:val="none" w:sz="0" w:space="0" w:color="auto"/>
        <w:left w:val="none" w:sz="0" w:space="0" w:color="auto"/>
        <w:bottom w:val="none" w:sz="0" w:space="0" w:color="auto"/>
        <w:right w:val="none" w:sz="0" w:space="0" w:color="auto"/>
      </w:divBdr>
    </w:div>
    <w:div w:id="750157221">
      <w:bodyDiv w:val="1"/>
      <w:marLeft w:val="0"/>
      <w:marRight w:val="0"/>
      <w:marTop w:val="0"/>
      <w:marBottom w:val="0"/>
      <w:divBdr>
        <w:top w:val="none" w:sz="0" w:space="0" w:color="auto"/>
        <w:left w:val="none" w:sz="0" w:space="0" w:color="auto"/>
        <w:bottom w:val="none" w:sz="0" w:space="0" w:color="auto"/>
        <w:right w:val="none" w:sz="0" w:space="0" w:color="auto"/>
      </w:divBdr>
    </w:div>
    <w:div w:id="769620428">
      <w:bodyDiv w:val="1"/>
      <w:marLeft w:val="0"/>
      <w:marRight w:val="0"/>
      <w:marTop w:val="0"/>
      <w:marBottom w:val="0"/>
      <w:divBdr>
        <w:top w:val="none" w:sz="0" w:space="0" w:color="auto"/>
        <w:left w:val="none" w:sz="0" w:space="0" w:color="auto"/>
        <w:bottom w:val="none" w:sz="0" w:space="0" w:color="auto"/>
        <w:right w:val="none" w:sz="0" w:space="0" w:color="auto"/>
      </w:divBdr>
    </w:div>
    <w:div w:id="775253840">
      <w:bodyDiv w:val="1"/>
      <w:marLeft w:val="0"/>
      <w:marRight w:val="0"/>
      <w:marTop w:val="0"/>
      <w:marBottom w:val="0"/>
      <w:divBdr>
        <w:top w:val="none" w:sz="0" w:space="0" w:color="auto"/>
        <w:left w:val="none" w:sz="0" w:space="0" w:color="auto"/>
        <w:bottom w:val="none" w:sz="0" w:space="0" w:color="auto"/>
        <w:right w:val="none" w:sz="0" w:space="0" w:color="auto"/>
      </w:divBdr>
    </w:div>
    <w:div w:id="793598356">
      <w:bodyDiv w:val="1"/>
      <w:marLeft w:val="0"/>
      <w:marRight w:val="0"/>
      <w:marTop w:val="0"/>
      <w:marBottom w:val="0"/>
      <w:divBdr>
        <w:top w:val="none" w:sz="0" w:space="0" w:color="auto"/>
        <w:left w:val="none" w:sz="0" w:space="0" w:color="auto"/>
        <w:bottom w:val="none" w:sz="0" w:space="0" w:color="auto"/>
        <w:right w:val="none" w:sz="0" w:space="0" w:color="auto"/>
      </w:divBdr>
    </w:div>
    <w:div w:id="842355626">
      <w:bodyDiv w:val="1"/>
      <w:marLeft w:val="0"/>
      <w:marRight w:val="0"/>
      <w:marTop w:val="0"/>
      <w:marBottom w:val="0"/>
      <w:divBdr>
        <w:top w:val="none" w:sz="0" w:space="0" w:color="auto"/>
        <w:left w:val="none" w:sz="0" w:space="0" w:color="auto"/>
        <w:bottom w:val="none" w:sz="0" w:space="0" w:color="auto"/>
        <w:right w:val="none" w:sz="0" w:space="0" w:color="auto"/>
      </w:divBdr>
    </w:div>
    <w:div w:id="861281378">
      <w:bodyDiv w:val="1"/>
      <w:marLeft w:val="0"/>
      <w:marRight w:val="0"/>
      <w:marTop w:val="0"/>
      <w:marBottom w:val="0"/>
      <w:divBdr>
        <w:top w:val="none" w:sz="0" w:space="0" w:color="auto"/>
        <w:left w:val="none" w:sz="0" w:space="0" w:color="auto"/>
        <w:bottom w:val="none" w:sz="0" w:space="0" w:color="auto"/>
        <w:right w:val="none" w:sz="0" w:space="0" w:color="auto"/>
      </w:divBdr>
    </w:div>
    <w:div w:id="874854933">
      <w:bodyDiv w:val="1"/>
      <w:marLeft w:val="0"/>
      <w:marRight w:val="0"/>
      <w:marTop w:val="0"/>
      <w:marBottom w:val="0"/>
      <w:divBdr>
        <w:top w:val="none" w:sz="0" w:space="0" w:color="auto"/>
        <w:left w:val="none" w:sz="0" w:space="0" w:color="auto"/>
        <w:bottom w:val="none" w:sz="0" w:space="0" w:color="auto"/>
        <w:right w:val="none" w:sz="0" w:space="0" w:color="auto"/>
      </w:divBdr>
    </w:div>
    <w:div w:id="888303287">
      <w:bodyDiv w:val="1"/>
      <w:marLeft w:val="0"/>
      <w:marRight w:val="0"/>
      <w:marTop w:val="0"/>
      <w:marBottom w:val="0"/>
      <w:divBdr>
        <w:top w:val="none" w:sz="0" w:space="0" w:color="auto"/>
        <w:left w:val="none" w:sz="0" w:space="0" w:color="auto"/>
        <w:bottom w:val="none" w:sz="0" w:space="0" w:color="auto"/>
        <w:right w:val="none" w:sz="0" w:space="0" w:color="auto"/>
      </w:divBdr>
    </w:div>
    <w:div w:id="903686572">
      <w:bodyDiv w:val="1"/>
      <w:marLeft w:val="0"/>
      <w:marRight w:val="0"/>
      <w:marTop w:val="0"/>
      <w:marBottom w:val="0"/>
      <w:divBdr>
        <w:top w:val="none" w:sz="0" w:space="0" w:color="auto"/>
        <w:left w:val="none" w:sz="0" w:space="0" w:color="auto"/>
        <w:bottom w:val="none" w:sz="0" w:space="0" w:color="auto"/>
        <w:right w:val="none" w:sz="0" w:space="0" w:color="auto"/>
      </w:divBdr>
    </w:div>
    <w:div w:id="912200934">
      <w:bodyDiv w:val="1"/>
      <w:marLeft w:val="0"/>
      <w:marRight w:val="0"/>
      <w:marTop w:val="0"/>
      <w:marBottom w:val="0"/>
      <w:divBdr>
        <w:top w:val="none" w:sz="0" w:space="0" w:color="auto"/>
        <w:left w:val="none" w:sz="0" w:space="0" w:color="auto"/>
        <w:bottom w:val="none" w:sz="0" w:space="0" w:color="auto"/>
        <w:right w:val="none" w:sz="0" w:space="0" w:color="auto"/>
      </w:divBdr>
    </w:div>
    <w:div w:id="958024836">
      <w:bodyDiv w:val="1"/>
      <w:marLeft w:val="0"/>
      <w:marRight w:val="0"/>
      <w:marTop w:val="0"/>
      <w:marBottom w:val="0"/>
      <w:divBdr>
        <w:top w:val="none" w:sz="0" w:space="0" w:color="auto"/>
        <w:left w:val="none" w:sz="0" w:space="0" w:color="auto"/>
        <w:bottom w:val="none" w:sz="0" w:space="0" w:color="auto"/>
        <w:right w:val="none" w:sz="0" w:space="0" w:color="auto"/>
      </w:divBdr>
    </w:div>
    <w:div w:id="985275989">
      <w:bodyDiv w:val="1"/>
      <w:marLeft w:val="0"/>
      <w:marRight w:val="0"/>
      <w:marTop w:val="0"/>
      <w:marBottom w:val="0"/>
      <w:divBdr>
        <w:top w:val="none" w:sz="0" w:space="0" w:color="auto"/>
        <w:left w:val="none" w:sz="0" w:space="0" w:color="auto"/>
        <w:bottom w:val="none" w:sz="0" w:space="0" w:color="auto"/>
        <w:right w:val="none" w:sz="0" w:space="0" w:color="auto"/>
      </w:divBdr>
    </w:div>
    <w:div w:id="1005088652">
      <w:bodyDiv w:val="1"/>
      <w:marLeft w:val="0"/>
      <w:marRight w:val="0"/>
      <w:marTop w:val="0"/>
      <w:marBottom w:val="0"/>
      <w:divBdr>
        <w:top w:val="none" w:sz="0" w:space="0" w:color="auto"/>
        <w:left w:val="none" w:sz="0" w:space="0" w:color="auto"/>
        <w:bottom w:val="none" w:sz="0" w:space="0" w:color="auto"/>
        <w:right w:val="none" w:sz="0" w:space="0" w:color="auto"/>
      </w:divBdr>
    </w:div>
    <w:div w:id="1028602194">
      <w:bodyDiv w:val="1"/>
      <w:marLeft w:val="0"/>
      <w:marRight w:val="0"/>
      <w:marTop w:val="0"/>
      <w:marBottom w:val="0"/>
      <w:divBdr>
        <w:top w:val="none" w:sz="0" w:space="0" w:color="auto"/>
        <w:left w:val="none" w:sz="0" w:space="0" w:color="auto"/>
        <w:bottom w:val="none" w:sz="0" w:space="0" w:color="auto"/>
        <w:right w:val="none" w:sz="0" w:space="0" w:color="auto"/>
      </w:divBdr>
    </w:div>
    <w:div w:id="1071392016">
      <w:bodyDiv w:val="1"/>
      <w:marLeft w:val="0"/>
      <w:marRight w:val="0"/>
      <w:marTop w:val="0"/>
      <w:marBottom w:val="0"/>
      <w:divBdr>
        <w:top w:val="none" w:sz="0" w:space="0" w:color="auto"/>
        <w:left w:val="none" w:sz="0" w:space="0" w:color="auto"/>
        <w:bottom w:val="none" w:sz="0" w:space="0" w:color="auto"/>
        <w:right w:val="none" w:sz="0" w:space="0" w:color="auto"/>
      </w:divBdr>
    </w:div>
    <w:div w:id="1128090240">
      <w:bodyDiv w:val="1"/>
      <w:marLeft w:val="0"/>
      <w:marRight w:val="0"/>
      <w:marTop w:val="0"/>
      <w:marBottom w:val="0"/>
      <w:divBdr>
        <w:top w:val="none" w:sz="0" w:space="0" w:color="auto"/>
        <w:left w:val="none" w:sz="0" w:space="0" w:color="auto"/>
        <w:bottom w:val="none" w:sz="0" w:space="0" w:color="auto"/>
        <w:right w:val="none" w:sz="0" w:space="0" w:color="auto"/>
      </w:divBdr>
    </w:div>
    <w:div w:id="1141582879">
      <w:bodyDiv w:val="1"/>
      <w:marLeft w:val="0"/>
      <w:marRight w:val="0"/>
      <w:marTop w:val="0"/>
      <w:marBottom w:val="0"/>
      <w:divBdr>
        <w:top w:val="none" w:sz="0" w:space="0" w:color="auto"/>
        <w:left w:val="none" w:sz="0" w:space="0" w:color="auto"/>
        <w:bottom w:val="none" w:sz="0" w:space="0" w:color="auto"/>
        <w:right w:val="none" w:sz="0" w:space="0" w:color="auto"/>
      </w:divBdr>
    </w:div>
    <w:div w:id="1182473480">
      <w:bodyDiv w:val="1"/>
      <w:marLeft w:val="0"/>
      <w:marRight w:val="0"/>
      <w:marTop w:val="0"/>
      <w:marBottom w:val="0"/>
      <w:divBdr>
        <w:top w:val="none" w:sz="0" w:space="0" w:color="auto"/>
        <w:left w:val="none" w:sz="0" w:space="0" w:color="auto"/>
        <w:bottom w:val="none" w:sz="0" w:space="0" w:color="auto"/>
        <w:right w:val="none" w:sz="0" w:space="0" w:color="auto"/>
      </w:divBdr>
    </w:div>
    <w:div w:id="1184199806">
      <w:bodyDiv w:val="1"/>
      <w:marLeft w:val="0"/>
      <w:marRight w:val="0"/>
      <w:marTop w:val="0"/>
      <w:marBottom w:val="0"/>
      <w:divBdr>
        <w:top w:val="none" w:sz="0" w:space="0" w:color="auto"/>
        <w:left w:val="none" w:sz="0" w:space="0" w:color="auto"/>
        <w:bottom w:val="none" w:sz="0" w:space="0" w:color="auto"/>
        <w:right w:val="none" w:sz="0" w:space="0" w:color="auto"/>
      </w:divBdr>
    </w:div>
    <w:div w:id="1202865783">
      <w:bodyDiv w:val="1"/>
      <w:marLeft w:val="0"/>
      <w:marRight w:val="0"/>
      <w:marTop w:val="0"/>
      <w:marBottom w:val="0"/>
      <w:divBdr>
        <w:top w:val="none" w:sz="0" w:space="0" w:color="auto"/>
        <w:left w:val="none" w:sz="0" w:space="0" w:color="auto"/>
        <w:bottom w:val="none" w:sz="0" w:space="0" w:color="auto"/>
        <w:right w:val="none" w:sz="0" w:space="0" w:color="auto"/>
      </w:divBdr>
    </w:div>
    <w:div w:id="1211456557">
      <w:bodyDiv w:val="1"/>
      <w:marLeft w:val="0"/>
      <w:marRight w:val="0"/>
      <w:marTop w:val="0"/>
      <w:marBottom w:val="0"/>
      <w:divBdr>
        <w:top w:val="none" w:sz="0" w:space="0" w:color="auto"/>
        <w:left w:val="none" w:sz="0" w:space="0" w:color="auto"/>
        <w:bottom w:val="none" w:sz="0" w:space="0" w:color="auto"/>
        <w:right w:val="none" w:sz="0" w:space="0" w:color="auto"/>
      </w:divBdr>
    </w:div>
    <w:div w:id="1248074574">
      <w:bodyDiv w:val="1"/>
      <w:marLeft w:val="0"/>
      <w:marRight w:val="0"/>
      <w:marTop w:val="0"/>
      <w:marBottom w:val="0"/>
      <w:divBdr>
        <w:top w:val="none" w:sz="0" w:space="0" w:color="auto"/>
        <w:left w:val="none" w:sz="0" w:space="0" w:color="auto"/>
        <w:bottom w:val="none" w:sz="0" w:space="0" w:color="auto"/>
        <w:right w:val="none" w:sz="0" w:space="0" w:color="auto"/>
      </w:divBdr>
    </w:div>
    <w:div w:id="1263488074">
      <w:bodyDiv w:val="1"/>
      <w:marLeft w:val="0"/>
      <w:marRight w:val="0"/>
      <w:marTop w:val="0"/>
      <w:marBottom w:val="0"/>
      <w:divBdr>
        <w:top w:val="none" w:sz="0" w:space="0" w:color="auto"/>
        <w:left w:val="none" w:sz="0" w:space="0" w:color="auto"/>
        <w:bottom w:val="none" w:sz="0" w:space="0" w:color="auto"/>
        <w:right w:val="none" w:sz="0" w:space="0" w:color="auto"/>
      </w:divBdr>
    </w:div>
    <w:div w:id="1267152377">
      <w:bodyDiv w:val="1"/>
      <w:marLeft w:val="0"/>
      <w:marRight w:val="0"/>
      <w:marTop w:val="0"/>
      <w:marBottom w:val="0"/>
      <w:divBdr>
        <w:top w:val="none" w:sz="0" w:space="0" w:color="auto"/>
        <w:left w:val="none" w:sz="0" w:space="0" w:color="auto"/>
        <w:bottom w:val="none" w:sz="0" w:space="0" w:color="auto"/>
        <w:right w:val="none" w:sz="0" w:space="0" w:color="auto"/>
      </w:divBdr>
    </w:div>
    <w:div w:id="1282223524">
      <w:bodyDiv w:val="1"/>
      <w:marLeft w:val="0"/>
      <w:marRight w:val="0"/>
      <w:marTop w:val="0"/>
      <w:marBottom w:val="0"/>
      <w:divBdr>
        <w:top w:val="none" w:sz="0" w:space="0" w:color="auto"/>
        <w:left w:val="none" w:sz="0" w:space="0" w:color="auto"/>
        <w:bottom w:val="none" w:sz="0" w:space="0" w:color="auto"/>
        <w:right w:val="none" w:sz="0" w:space="0" w:color="auto"/>
      </w:divBdr>
    </w:div>
    <w:div w:id="1282807722">
      <w:bodyDiv w:val="1"/>
      <w:marLeft w:val="0"/>
      <w:marRight w:val="0"/>
      <w:marTop w:val="0"/>
      <w:marBottom w:val="0"/>
      <w:divBdr>
        <w:top w:val="none" w:sz="0" w:space="0" w:color="auto"/>
        <w:left w:val="none" w:sz="0" w:space="0" w:color="auto"/>
        <w:bottom w:val="none" w:sz="0" w:space="0" w:color="auto"/>
        <w:right w:val="none" w:sz="0" w:space="0" w:color="auto"/>
      </w:divBdr>
    </w:div>
    <w:div w:id="1287003052">
      <w:bodyDiv w:val="1"/>
      <w:marLeft w:val="0"/>
      <w:marRight w:val="0"/>
      <w:marTop w:val="0"/>
      <w:marBottom w:val="0"/>
      <w:divBdr>
        <w:top w:val="none" w:sz="0" w:space="0" w:color="auto"/>
        <w:left w:val="none" w:sz="0" w:space="0" w:color="auto"/>
        <w:bottom w:val="none" w:sz="0" w:space="0" w:color="auto"/>
        <w:right w:val="none" w:sz="0" w:space="0" w:color="auto"/>
      </w:divBdr>
    </w:div>
    <w:div w:id="1296446738">
      <w:bodyDiv w:val="1"/>
      <w:marLeft w:val="0"/>
      <w:marRight w:val="0"/>
      <w:marTop w:val="0"/>
      <w:marBottom w:val="0"/>
      <w:divBdr>
        <w:top w:val="none" w:sz="0" w:space="0" w:color="auto"/>
        <w:left w:val="none" w:sz="0" w:space="0" w:color="auto"/>
        <w:bottom w:val="none" w:sz="0" w:space="0" w:color="auto"/>
        <w:right w:val="none" w:sz="0" w:space="0" w:color="auto"/>
      </w:divBdr>
    </w:div>
    <w:div w:id="1345746141">
      <w:bodyDiv w:val="1"/>
      <w:marLeft w:val="0"/>
      <w:marRight w:val="0"/>
      <w:marTop w:val="0"/>
      <w:marBottom w:val="0"/>
      <w:divBdr>
        <w:top w:val="none" w:sz="0" w:space="0" w:color="auto"/>
        <w:left w:val="none" w:sz="0" w:space="0" w:color="auto"/>
        <w:bottom w:val="none" w:sz="0" w:space="0" w:color="auto"/>
        <w:right w:val="none" w:sz="0" w:space="0" w:color="auto"/>
      </w:divBdr>
    </w:div>
    <w:div w:id="1353414567">
      <w:bodyDiv w:val="1"/>
      <w:marLeft w:val="0"/>
      <w:marRight w:val="0"/>
      <w:marTop w:val="0"/>
      <w:marBottom w:val="0"/>
      <w:divBdr>
        <w:top w:val="none" w:sz="0" w:space="0" w:color="auto"/>
        <w:left w:val="none" w:sz="0" w:space="0" w:color="auto"/>
        <w:bottom w:val="none" w:sz="0" w:space="0" w:color="auto"/>
        <w:right w:val="none" w:sz="0" w:space="0" w:color="auto"/>
      </w:divBdr>
    </w:div>
    <w:div w:id="1353989696">
      <w:bodyDiv w:val="1"/>
      <w:marLeft w:val="0"/>
      <w:marRight w:val="0"/>
      <w:marTop w:val="0"/>
      <w:marBottom w:val="0"/>
      <w:divBdr>
        <w:top w:val="none" w:sz="0" w:space="0" w:color="auto"/>
        <w:left w:val="none" w:sz="0" w:space="0" w:color="auto"/>
        <w:bottom w:val="none" w:sz="0" w:space="0" w:color="auto"/>
        <w:right w:val="none" w:sz="0" w:space="0" w:color="auto"/>
      </w:divBdr>
    </w:div>
    <w:div w:id="1397974440">
      <w:bodyDiv w:val="1"/>
      <w:marLeft w:val="0"/>
      <w:marRight w:val="0"/>
      <w:marTop w:val="0"/>
      <w:marBottom w:val="0"/>
      <w:divBdr>
        <w:top w:val="none" w:sz="0" w:space="0" w:color="auto"/>
        <w:left w:val="none" w:sz="0" w:space="0" w:color="auto"/>
        <w:bottom w:val="none" w:sz="0" w:space="0" w:color="auto"/>
        <w:right w:val="none" w:sz="0" w:space="0" w:color="auto"/>
      </w:divBdr>
    </w:div>
    <w:div w:id="1413426753">
      <w:bodyDiv w:val="1"/>
      <w:marLeft w:val="0"/>
      <w:marRight w:val="0"/>
      <w:marTop w:val="0"/>
      <w:marBottom w:val="0"/>
      <w:divBdr>
        <w:top w:val="none" w:sz="0" w:space="0" w:color="auto"/>
        <w:left w:val="none" w:sz="0" w:space="0" w:color="auto"/>
        <w:bottom w:val="none" w:sz="0" w:space="0" w:color="auto"/>
        <w:right w:val="none" w:sz="0" w:space="0" w:color="auto"/>
      </w:divBdr>
    </w:div>
    <w:div w:id="1433166230">
      <w:bodyDiv w:val="1"/>
      <w:marLeft w:val="0"/>
      <w:marRight w:val="0"/>
      <w:marTop w:val="0"/>
      <w:marBottom w:val="0"/>
      <w:divBdr>
        <w:top w:val="none" w:sz="0" w:space="0" w:color="auto"/>
        <w:left w:val="none" w:sz="0" w:space="0" w:color="auto"/>
        <w:bottom w:val="none" w:sz="0" w:space="0" w:color="auto"/>
        <w:right w:val="none" w:sz="0" w:space="0" w:color="auto"/>
      </w:divBdr>
    </w:div>
    <w:div w:id="1441798203">
      <w:bodyDiv w:val="1"/>
      <w:marLeft w:val="0"/>
      <w:marRight w:val="0"/>
      <w:marTop w:val="0"/>
      <w:marBottom w:val="0"/>
      <w:divBdr>
        <w:top w:val="none" w:sz="0" w:space="0" w:color="auto"/>
        <w:left w:val="none" w:sz="0" w:space="0" w:color="auto"/>
        <w:bottom w:val="none" w:sz="0" w:space="0" w:color="auto"/>
        <w:right w:val="none" w:sz="0" w:space="0" w:color="auto"/>
      </w:divBdr>
    </w:div>
    <w:div w:id="1469972724">
      <w:bodyDiv w:val="1"/>
      <w:marLeft w:val="0"/>
      <w:marRight w:val="0"/>
      <w:marTop w:val="0"/>
      <w:marBottom w:val="0"/>
      <w:divBdr>
        <w:top w:val="none" w:sz="0" w:space="0" w:color="auto"/>
        <w:left w:val="none" w:sz="0" w:space="0" w:color="auto"/>
        <w:bottom w:val="none" w:sz="0" w:space="0" w:color="auto"/>
        <w:right w:val="none" w:sz="0" w:space="0" w:color="auto"/>
      </w:divBdr>
    </w:div>
    <w:div w:id="1509562149">
      <w:bodyDiv w:val="1"/>
      <w:marLeft w:val="0"/>
      <w:marRight w:val="0"/>
      <w:marTop w:val="0"/>
      <w:marBottom w:val="0"/>
      <w:divBdr>
        <w:top w:val="none" w:sz="0" w:space="0" w:color="auto"/>
        <w:left w:val="none" w:sz="0" w:space="0" w:color="auto"/>
        <w:bottom w:val="none" w:sz="0" w:space="0" w:color="auto"/>
        <w:right w:val="none" w:sz="0" w:space="0" w:color="auto"/>
      </w:divBdr>
    </w:div>
    <w:div w:id="1545367181">
      <w:bodyDiv w:val="1"/>
      <w:marLeft w:val="0"/>
      <w:marRight w:val="0"/>
      <w:marTop w:val="0"/>
      <w:marBottom w:val="0"/>
      <w:divBdr>
        <w:top w:val="none" w:sz="0" w:space="0" w:color="auto"/>
        <w:left w:val="none" w:sz="0" w:space="0" w:color="auto"/>
        <w:bottom w:val="none" w:sz="0" w:space="0" w:color="auto"/>
        <w:right w:val="none" w:sz="0" w:space="0" w:color="auto"/>
      </w:divBdr>
    </w:div>
    <w:div w:id="1554805816">
      <w:bodyDiv w:val="1"/>
      <w:marLeft w:val="0"/>
      <w:marRight w:val="0"/>
      <w:marTop w:val="0"/>
      <w:marBottom w:val="0"/>
      <w:divBdr>
        <w:top w:val="none" w:sz="0" w:space="0" w:color="auto"/>
        <w:left w:val="none" w:sz="0" w:space="0" w:color="auto"/>
        <w:bottom w:val="none" w:sz="0" w:space="0" w:color="auto"/>
        <w:right w:val="none" w:sz="0" w:space="0" w:color="auto"/>
      </w:divBdr>
    </w:div>
    <w:div w:id="1555004455">
      <w:bodyDiv w:val="1"/>
      <w:marLeft w:val="0"/>
      <w:marRight w:val="0"/>
      <w:marTop w:val="0"/>
      <w:marBottom w:val="0"/>
      <w:divBdr>
        <w:top w:val="none" w:sz="0" w:space="0" w:color="auto"/>
        <w:left w:val="none" w:sz="0" w:space="0" w:color="auto"/>
        <w:bottom w:val="none" w:sz="0" w:space="0" w:color="auto"/>
        <w:right w:val="none" w:sz="0" w:space="0" w:color="auto"/>
      </w:divBdr>
    </w:div>
    <w:div w:id="1565723503">
      <w:bodyDiv w:val="1"/>
      <w:marLeft w:val="0"/>
      <w:marRight w:val="0"/>
      <w:marTop w:val="0"/>
      <w:marBottom w:val="0"/>
      <w:divBdr>
        <w:top w:val="none" w:sz="0" w:space="0" w:color="auto"/>
        <w:left w:val="none" w:sz="0" w:space="0" w:color="auto"/>
        <w:bottom w:val="none" w:sz="0" w:space="0" w:color="auto"/>
        <w:right w:val="none" w:sz="0" w:space="0" w:color="auto"/>
      </w:divBdr>
    </w:div>
    <w:div w:id="1580676313">
      <w:bodyDiv w:val="1"/>
      <w:marLeft w:val="0"/>
      <w:marRight w:val="0"/>
      <w:marTop w:val="0"/>
      <w:marBottom w:val="0"/>
      <w:divBdr>
        <w:top w:val="none" w:sz="0" w:space="0" w:color="auto"/>
        <w:left w:val="none" w:sz="0" w:space="0" w:color="auto"/>
        <w:bottom w:val="none" w:sz="0" w:space="0" w:color="auto"/>
        <w:right w:val="none" w:sz="0" w:space="0" w:color="auto"/>
      </w:divBdr>
    </w:div>
    <w:div w:id="1653826702">
      <w:bodyDiv w:val="1"/>
      <w:marLeft w:val="0"/>
      <w:marRight w:val="0"/>
      <w:marTop w:val="0"/>
      <w:marBottom w:val="0"/>
      <w:divBdr>
        <w:top w:val="none" w:sz="0" w:space="0" w:color="auto"/>
        <w:left w:val="none" w:sz="0" w:space="0" w:color="auto"/>
        <w:bottom w:val="none" w:sz="0" w:space="0" w:color="auto"/>
        <w:right w:val="none" w:sz="0" w:space="0" w:color="auto"/>
      </w:divBdr>
    </w:div>
    <w:div w:id="1679962271">
      <w:bodyDiv w:val="1"/>
      <w:marLeft w:val="0"/>
      <w:marRight w:val="0"/>
      <w:marTop w:val="0"/>
      <w:marBottom w:val="0"/>
      <w:divBdr>
        <w:top w:val="none" w:sz="0" w:space="0" w:color="auto"/>
        <w:left w:val="none" w:sz="0" w:space="0" w:color="auto"/>
        <w:bottom w:val="none" w:sz="0" w:space="0" w:color="auto"/>
        <w:right w:val="none" w:sz="0" w:space="0" w:color="auto"/>
      </w:divBdr>
    </w:div>
    <w:div w:id="1687831046">
      <w:bodyDiv w:val="1"/>
      <w:marLeft w:val="0"/>
      <w:marRight w:val="0"/>
      <w:marTop w:val="0"/>
      <w:marBottom w:val="0"/>
      <w:divBdr>
        <w:top w:val="none" w:sz="0" w:space="0" w:color="auto"/>
        <w:left w:val="none" w:sz="0" w:space="0" w:color="auto"/>
        <w:bottom w:val="none" w:sz="0" w:space="0" w:color="auto"/>
        <w:right w:val="none" w:sz="0" w:space="0" w:color="auto"/>
      </w:divBdr>
    </w:div>
    <w:div w:id="1719473351">
      <w:bodyDiv w:val="1"/>
      <w:marLeft w:val="0"/>
      <w:marRight w:val="0"/>
      <w:marTop w:val="0"/>
      <w:marBottom w:val="0"/>
      <w:divBdr>
        <w:top w:val="none" w:sz="0" w:space="0" w:color="auto"/>
        <w:left w:val="none" w:sz="0" w:space="0" w:color="auto"/>
        <w:bottom w:val="none" w:sz="0" w:space="0" w:color="auto"/>
        <w:right w:val="none" w:sz="0" w:space="0" w:color="auto"/>
      </w:divBdr>
    </w:div>
    <w:div w:id="1739477014">
      <w:bodyDiv w:val="1"/>
      <w:marLeft w:val="0"/>
      <w:marRight w:val="0"/>
      <w:marTop w:val="0"/>
      <w:marBottom w:val="0"/>
      <w:divBdr>
        <w:top w:val="none" w:sz="0" w:space="0" w:color="auto"/>
        <w:left w:val="none" w:sz="0" w:space="0" w:color="auto"/>
        <w:bottom w:val="none" w:sz="0" w:space="0" w:color="auto"/>
        <w:right w:val="none" w:sz="0" w:space="0" w:color="auto"/>
      </w:divBdr>
    </w:div>
    <w:div w:id="1744134093">
      <w:bodyDiv w:val="1"/>
      <w:marLeft w:val="0"/>
      <w:marRight w:val="0"/>
      <w:marTop w:val="0"/>
      <w:marBottom w:val="0"/>
      <w:divBdr>
        <w:top w:val="none" w:sz="0" w:space="0" w:color="auto"/>
        <w:left w:val="none" w:sz="0" w:space="0" w:color="auto"/>
        <w:bottom w:val="none" w:sz="0" w:space="0" w:color="auto"/>
        <w:right w:val="none" w:sz="0" w:space="0" w:color="auto"/>
      </w:divBdr>
    </w:div>
    <w:div w:id="1751854825">
      <w:bodyDiv w:val="1"/>
      <w:marLeft w:val="0"/>
      <w:marRight w:val="0"/>
      <w:marTop w:val="0"/>
      <w:marBottom w:val="0"/>
      <w:divBdr>
        <w:top w:val="none" w:sz="0" w:space="0" w:color="auto"/>
        <w:left w:val="none" w:sz="0" w:space="0" w:color="auto"/>
        <w:bottom w:val="none" w:sz="0" w:space="0" w:color="auto"/>
        <w:right w:val="none" w:sz="0" w:space="0" w:color="auto"/>
      </w:divBdr>
    </w:div>
    <w:div w:id="1754813541">
      <w:bodyDiv w:val="1"/>
      <w:marLeft w:val="0"/>
      <w:marRight w:val="0"/>
      <w:marTop w:val="0"/>
      <w:marBottom w:val="0"/>
      <w:divBdr>
        <w:top w:val="none" w:sz="0" w:space="0" w:color="auto"/>
        <w:left w:val="none" w:sz="0" w:space="0" w:color="auto"/>
        <w:bottom w:val="none" w:sz="0" w:space="0" w:color="auto"/>
        <w:right w:val="none" w:sz="0" w:space="0" w:color="auto"/>
      </w:divBdr>
    </w:div>
    <w:div w:id="1788350731">
      <w:bodyDiv w:val="1"/>
      <w:marLeft w:val="0"/>
      <w:marRight w:val="0"/>
      <w:marTop w:val="0"/>
      <w:marBottom w:val="0"/>
      <w:divBdr>
        <w:top w:val="none" w:sz="0" w:space="0" w:color="auto"/>
        <w:left w:val="none" w:sz="0" w:space="0" w:color="auto"/>
        <w:bottom w:val="none" w:sz="0" w:space="0" w:color="auto"/>
        <w:right w:val="none" w:sz="0" w:space="0" w:color="auto"/>
      </w:divBdr>
    </w:div>
    <w:div w:id="1794323310">
      <w:bodyDiv w:val="1"/>
      <w:marLeft w:val="0"/>
      <w:marRight w:val="0"/>
      <w:marTop w:val="0"/>
      <w:marBottom w:val="0"/>
      <w:divBdr>
        <w:top w:val="none" w:sz="0" w:space="0" w:color="auto"/>
        <w:left w:val="none" w:sz="0" w:space="0" w:color="auto"/>
        <w:bottom w:val="none" w:sz="0" w:space="0" w:color="auto"/>
        <w:right w:val="none" w:sz="0" w:space="0" w:color="auto"/>
      </w:divBdr>
    </w:div>
    <w:div w:id="1815483485">
      <w:bodyDiv w:val="1"/>
      <w:marLeft w:val="0"/>
      <w:marRight w:val="0"/>
      <w:marTop w:val="0"/>
      <w:marBottom w:val="0"/>
      <w:divBdr>
        <w:top w:val="none" w:sz="0" w:space="0" w:color="auto"/>
        <w:left w:val="none" w:sz="0" w:space="0" w:color="auto"/>
        <w:bottom w:val="none" w:sz="0" w:space="0" w:color="auto"/>
        <w:right w:val="none" w:sz="0" w:space="0" w:color="auto"/>
      </w:divBdr>
    </w:div>
    <w:div w:id="1831604295">
      <w:bodyDiv w:val="1"/>
      <w:marLeft w:val="0"/>
      <w:marRight w:val="0"/>
      <w:marTop w:val="0"/>
      <w:marBottom w:val="0"/>
      <w:divBdr>
        <w:top w:val="none" w:sz="0" w:space="0" w:color="auto"/>
        <w:left w:val="none" w:sz="0" w:space="0" w:color="auto"/>
        <w:bottom w:val="none" w:sz="0" w:space="0" w:color="auto"/>
        <w:right w:val="none" w:sz="0" w:space="0" w:color="auto"/>
      </w:divBdr>
    </w:div>
    <w:div w:id="1850094873">
      <w:bodyDiv w:val="1"/>
      <w:marLeft w:val="0"/>
      <w:marRight w:val="0"/>
      <w:marTop w:val="0"/>
      <w:marBottom w:val="0"/>
      <w:divBdr>
        <w:top w:val="none" w:sz="0" w:space="0" w:color="auto"/>
        <w:left w:val="none" w:sz="0" w:space="0" w:color="auto"/>
        <w:bottom w:val="none" w:sz="0" w:space="0" w:color="auto"/>
        <w:right w:val="none" w:sz="0" w:space="0" w:color="auto"/>
      </w:divBdr>
    </w:div>
    <w:div w:id="1913347240">
      <w:bodyDiv w:val="1"/>
      <w:marLeft w:val="0"/>
      <w:marRight w:val="0"/>
      <w:marTop w:val="0"/>
      <w:marBottom w:val="0"/>
      <w:divBdr>
        <w:top w:val="none" w:sz="0" w:space="0" w:color="auto"/>
        <w:left w:val="none" w:sz="0" w:space="0" w:color="auto"/>
        <w:bottom w:val="none" w:sz="0" w:space="0" w:color="auto"/>
        <w:right w:val="none" w:sz="0" w:space="0" w:color="auto"/>
      </w:divBdr>
    </w:div>
    <w:div w:id="1941640173">
      <w:bodyDiv w:val="1"/>
      <w:marLeft w:val="0"/>
      <w:marRight w:val="0"/>
      <w:marTop w:val="0"/>
      <w:marBottom w:val="0"/>
      <w:divBdr>
        <w:top w:val="none" w:sz="0" w:space="0" w:color="auto"/>
        <w:left w:val="none" w:sz="0" w:space="0" w:color="auto"/>
        <w:bottom w:val="none" w:sz="0" w:space="0" w:color="auto"/>
        <w:right w:val="none" w:sz="0" w:space="0" w:color="auto"/>
      </w:divBdr>
    </w:div>
    <w:div w:id="1980915583">
      <w:bodyDiv w:val="1"/>
      <w:marLeft w:val="0"/>
      <w:marRight w:val="0"/>
      <w:marTop w:val="0"/>
      <w:marBottom w:val="0"/>
      <w:divBdr>
        <w:top w:val="none" w:sz="0" w:space="0" w:color="auto"/>
        <w:left w:val="none" w:sz="0" w:space="0" w:color="auto"/>
        <w:bottom w:val="none" w:sz="0" w:space="0" w:color="auto"/>
        <w:right w:val="none" w:sz="0" w:space="0" w:color="auto"/>
      </w:divBdr>
    </w:div>
    <w:div w:id="1987008298">
      <w:bodyDiv w:val="1"/>
      <w:marLeft w:val="0"/>
      <w:marRight w:val="0"/>
      <w:marTop w:val="0"/>
      <w:marBottom w:val="0"/>
      <w:divBdr>
        <w:top w:val="none" w:sz="0" w:space="0" w:color="auto"/>
        <w:left w:val="none" w:sz="0" w:space="0" w:color="auto"/>
        <w:bottom w:val="none" w:sz="0" w:space="0" w:color="auto"/>
        <w:right w:val="none" w:sz="0" w:space="0" w:color="auto"/>
      </w:divBdr>
    </w:div>
    <w:div w:id="1991252890">
      <w:bodyDiv w:val="1"/>
      <w:marLeft w:val="0"/>
      <w:marRight w:val="0"/>
      <w:marTop w:val="0"/>
      <w:marBottom w:val="0"/>
      <w:divBdr>
        <w:top w:val="none" w:sz="0" w:space="0" w:color="auto"/>
        <w:left w:val="none" w:sz="0" w:space="0" w:color="auto"/>
        <w:bottom w:val="none" w:sz="0" w:space="0" w:color="auto"/>
        <w:right w:val="none" w:sz="0" w:space="0" w:color="auto"/>
      </w:divBdr>
    </w:div>
    <w:div w:id="2000618975">
      <w:bodyDiv w:val="1"/>
      <w:marLeft w:val="0"/>
      <w:marRight w:val="0"/>
      <w:marTop w:val="0"/>
      <w:marBottom w:val="0"/>
      <w:divBdr>
        <w:top w:val="none" w:sz="0" w:space="0" w:color="auto"/>
        <w:left w:val="none" w:sz="0" w:space="0" w:color="auto"/>
        <w:bottom w:val="none" w:sz="0" w:space="0" w:color="auto"/>
        <w:right w:val="none" w:sz="0" w:space="0" w:color="auto"/>
      </w:divBdr>
    </w:div>
    <w:div w:id="2002855701">
      <w:bodyDiv w:val="1"/>
      <w:marLeft w:val="0"/>
      <w:marRight w:val="0"/>
      <w:marTop w:val="0"/>
      <w:marBottom w:val="0"/>
      <w:divBdr>
        <w:top w:val="none" w:sz="0" w:space="0" w:color="auto"/>
        <w:left w:val="none" w:sz="0" w:space="0" w:color="auto"/>
        <w:bottom w:val="none" w:sz="0" w:space="0" w:color="auto"/>
        <w:right w:val="none" w:sz="0" w:space="0" w:color="auto"/>
      </w:divBdr>
    </w:div>
    <w:div w:id="2016494913">
      <w:bodyDiv w:val="1"/>
      <w:marLeft w:val="0"/>
      <w:marRight w:val="0"/>
      <w:marTop w:val="0"/>
      <w:marBottom w:val="0"/>
      <w:divBdr>
        <w:top w:val="none" w:sz="0" w:space="0" w:color="auto"/>
        <w:left w:val="none" w:sz="0" w:space="0" w:color="auto"/>
        <w:bottom w:val="none" w:sz="0" w:space="0" w:color="auto"/>
        <w:right w:val="none" w:sz="0" w:space="0" w:color="auto"/>
      </w:divBdr>
    </w:div>
    <w:div w:id="2056347071">
      <w:bodyDiv w:val="1"/>
      <w:marLeft w:val="0"/>
      <w:marRight w:val="0"/>
      <w:marTop w:val="0"/>
      <w:marBottom w:val="0"/>
      <w:divBdr>
        <w:top w:val="none" w:sz="0" w:space="0" w:color="auto"/>
        <w:left w:val="none" w:sz="0" w:space="0" w:color="auto"/>
        <w:bottom w:val="none" w:sz="0" w:space="0" w:color="auto"/>
        <w:right w:val="none" w:sz="0" w:space="0" w:color="auto"/>
      </w:divBdr>
    </w:div>
    <w:div w:id="2072078647">
      <w:bodyDiv w:val="1"/>
      <w:marLeft w:val="0"/>
      <w:marRight w:val="0"/>
      <w:marTop w:val="0"/>
      <w:marBottom w:val="0"/>
      <w:divBdr>
        <w:top w:val="none" w:sz="0" w:space="0" w:color="auto"/>
        <w:left w:val="none" w:sz="0" w:space="0" w:color="auto"/>
        <w:bottom w:val="none" w:sz="0" w:space="0" w:color="auto"/>
        <w:right w:val="none" w:sz="0" w:space="0" w:color="auto"/>
      </w:divBdr>
    </w:div>
    <w:div w:id="2080127264">
      <w:bodyDiv w:val="1"/>
      <w:marLeft w:val="0"/>
      <w:marRight w:val="0"/>
      <w:marTop w:val="0"/>
      <w:marBottom w:val="0"/>
      <w:divBdr>
        <w:top w:val="none" w:sz="0" w:space="0" w:color="auto"/>
        <w:left w:val="none" w:sz="0" w:space="0" w:color="auto"/>
        <w:bottom w:val="none" w:sz="0" w:space="0" w:color="auto"/>
        <w:right w:val="none" w:sz="0" w:space="0" w:color="auto"/>
      </w:divBdr>
    </w:div>
    <w:div w:id="2093507387">
      <w:bodyDiv w:val="1"/>
      <w:marLeft w:val="0"/>
      <w:marRight w:val="0"/>
      <w:marTop w:val="0"/>
      <w:marBottom w:val="0"/>
      <w:divBdr>
        <w:top w:val="none" w:sz="0" w:space="0" w:color="auto"/>
        <w:left w:val="none" w:sz="0" w:space="0" w:color="auto"/>
        <w:bottom w:val="none" w:sz="0" w:space="0" w:color="auto"/>
        <w:right w:val="none" w:sz="0" w:space="0" w:color="auto"/>
      </w:divBdr>
    </w:div>
    <w:div w:id="2105569518">
      <w:bodyDiv w:val="1"/>
      <w:marLeft w:val="0"/>
      <w:marRight w:val="0"/>
      <w:marTop w:val="0"/>
      <w:marBottom w:val="0"/>
      <w:divBdr>
        <w:top w:val="none" w:sz="0" w:space="0" w:color="auto"/>
        <w:left w:val="none" w:sz="0" w:space="0" w:color="auto"/>
        <w:bottom w:val="none" w:sz="0" w:space="0" w:color="auto"/>
        <w:right w:val="none" w:sz="0" w:space="0" w:color="auto"/>
      </w:divBdr>
    </w:div>
    <w:div w:id="2116627926">
      <w:bodyDiv w:val="1"/>
      <w:marLeft w:val="0"/>
      <w:marRight w:val="0"/>
      <w:marTop w:val="0"/>
      <w:marBottom w:val="0"/>
      <w:divBdr>
        <w:top w:val="none" w:sz="0" w:space="0" w:color="auto"/>
        <w:left w:val="none" w:sz="0" w:space="0" w:color="auto"/>
        <w:bottom w:val="none" w:sz="0" w:space="0" w:color="auto"/>
        <w:right w:val="none" w:sz="0" w:space="0" w:color="auto"/>
      </w:divBdr>
    </w:div>
    <w:div w:id="21256844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kingqueen.org.uk/s167" TargetMode="External"/><Relationship Id="rId18" Type="http://schemas.openxmlformats.org/officeDocument/2006/relationships/footer" Target="footer4.xml"/><Relationship Id="rId26" Type="http://schemas.openxmlformats.org/officeDocument/2006/relationships/chart" Target="charts/chart8.xml"/><Relationship Id="rId39" Type="http://schemas.openxmlformats.org/officeDocument/2006/relationships/image" Target="media/image5.gif"/><Relationship Id="rId21" Type="http://schemas.openxmlformats.org/officeDocument/2006/relationships/chart" Target="charts/chart4.xml"/><Relationship Id="rId34" Type="http://schemas.openxmlformats.org/officeDocument/2006/relationships/chart" Target="charts/chart16.xml"/><Relationship Id="rId42" Type="http://schemas.openxmlformats.org/officeDocument/2006/relationships/footer" Target="footer6.xml"/><Relationship Id="rId47" Type="http://schemas.openxmlformats.org/officeDocument/2006/relationships/hyperlink" Target="file:///D:\dropbox\April%202018%20update%20-%20Licensing%20authorities&#8217;%20approach%20to%20the%20Equality%20Act%202010%20provisions%20on%20taxi%20wheelchair%20discrimination.docx" TargetMode="Externa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chart" Target="charts/chart11.xml"/><Relationship Id="rId11" Type="http://schemas.openxmlformats.org/officeDocument/2006/relationships/footer" Target="footer1.xml"/><Relationship Id="rId24" Type="http://schemas.openxmlformats.org/officeDocument/2006/relationships/chart" Target="charts/chart6.xml"/><Relationship Id="rId32" Type="http://schemas.openxmlformats.org/officeDocument/2006/relationships/chart" Target="charts/chart14.xml"/><Relationship Id="rId37" Type="http://schemas.openxmlformats.org/officeDocument/2006/relationships/chart" Target="charts/chart19.xml"/><Relationship Id="rId40" Type="http://schemas.openxmlformats.org/officeDocument/2006/relationships/footer" Target="footer5.xml"/><Relationship Id="rId45" Type="http://schemas.openxmlformats.org/officeDocument/2006/relationships/image" Target="media/image8.png"/><Relationship Id="rId5" Type="http://schemas.openxmlformats.org/officeDocument/2006/relationships/settings" Target="settings.xml"/><Relationship Id="rId15" Type="http://schemas.openxmlformats.org/officeDocument/2006/relationships/header" Target="header2.xml"/><Relationship Id="rId23" Type="http://schemas.openxmlformats.org/officeDocument/2006/relationships/image" Target="media/image3.png"/><Relationship Id="rId28" Type="http://schemas.openxmlformats.org/officeDocument/2006/relationships/chart" Target="charts/chart10.xml"/><Relationship Id="rId36" Type="http://schemas.openxmlformats.org/officeDocument/2006/relationships/chart" Target="charts/chart18.xml"/><Relationship Id="rId49"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chart" Target="charts/chart2.xml"/><Relationship Id="rId31" Type="http://schemas.openxmlformats.org/officeDocument/2006/relationships/chart" Target="charts/chart13.xml"/><Relationship Id="rId44" Type="http://schemas.openxmlformats.org/officeDocument/2006/relationships/image" Target="media/image7.gif"/><Relationship Id="rId4" Type="http://schemas.openxmlformats.org/officeDocument/2006/relationships/styles" Target="styles.xml"/><Relationship Id="rId9" Type="http://schemas.openxmlformats.org/officeDocument/2006/relationships/image" Target="media/image1.gif"/><Relationship Id="rId14" Type="http://schemas.openxmlformats.org/officeDocument/2006/relationships/chart" Target="charts/chart1.xml"/><Relationship Id="rId22" Type="http://schemas.openxmlformats.org/officeDocument/2006/relationships/chart" Target="charts/chart5.xml"/><Relationship Id="rId27" Type="http://schemas.openxmlformats.org/officeDocument/2006/relationships/chart" Target="charts/chart9.xml"/><Relationship Id="rId30" Type="http://schemas.openxmlformats.org/officeDocument/2006/relationships/chart" Target="charts/chart12.xml"/><Relationship Id="rId35" Type="http://schemas.openxmlformats.org/officeDocument/2006/relationships/chart" Target="charts/chart17.xml"/><Relationship Id="rId43" Type="http://schemas.openxmlformats.org/officeDocument/2006/relationships/image" Target="media/image6.gif"/><Relationship Id="rId48" Type="http://schemas.openxmlformats.org/officeDocument/2006/relationships/fontTable" Target="fontTable.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footer" Target="footer2.xml"/><Relationship Id="rId17" Type="http://schemas.openxmlformats.org/officeDocument/2006/relationships/header" Target="header3.xml"/><Relationship Id="rId25" Type="http://schemas.openxmlformats.org/officeDocument/2006/relationships/chart" Target="charts/chart7.xml"/><Relationship Id="rId33" Type="http://schemas.openxmlformats.org/officeDocument/2006/relationships/chart" Target="charts/chart15.xml"/><Relationship Id="rId38" Type="http://schemas.openxmlformats.org/officeDocument/2006/relationships/image" Target="media/image4.gif"/><Relationship Id="rId46" Type="http://schemas.openxmlformats.org/officeDocument/2006/relationships/image" Target="media/image9.svg"/><Relationship Id="rId20" Type="http://schemas.openxmlformats.org/officeDocument/2006/relationships/chart" Target="charts/chart3.xml"/><Relationship Id="rId41"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webSettings" Target="webSettings.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oleObject" Target="NULL" TargetMode="External"/></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oleObject" Target="NULL" TargetMode="External"/></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oleObject" Target="NULL" TargetMode="External"/></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oleObject" Target="NULL" TargetMode="External"/></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14.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oleObject" Target="NULL" TargetMode="External"/></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15.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oleObject" Target="NULL" TargetMode="External"/></Relationships>
</file>

<file path=word/charts/_rels/chart16.xml.rels><?xml version="1.0" encoding="UTF-8" standalone="yes"?>
<Relationships xmlns="http://schemas.openxmlformats.org/package/2006/relationships"><Relationship Id="rId3" Type="http://schemas.openxmlformats.org/officeDocument/2006/relationships/themeOverride" Target="../theme/themeOverride16.xm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oleObject" Target="NULL" TargetMode="External"/></Relationships>
</file>

<file path=word/charts/_rels/chart17.xml.rels><?xml version="1.0" encoding="UTF-8" standalone="yes"?>
<Relationships xmlns="http://schemas.openxmlformats.org/package/2006/relationships"><Relationship Id="rId3" Type="http://schemas.openxmlformats.org/officeDocument/2006/relationships/themeOverride" Target="../theme/themeOverride17.xm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oleObject" Target="NULL" TargetMode="External"/></Relationships>
</file>

<file path=word/charts/_rels/chart18.xml.rels><?xml version="1.0" encoding="UTF-8" standalone="yes"?>
<Relationships xmlns="http://schemas.openxmlformats.org/package/2006/relationships"><Relationship Id="rId3" Type="http://schemas.openxmlformats.org/officeDocument/2006/relationships/themeOverride" Target="../theme/themeOverride18.xml"/><Relationship Id="rId2" Type="http://schemas.microsoft.com/office/2011/relationships/chartColorStyle" Target="colors16.xml"/><Relationship Id="rId1" Type="http://schemas.microsoft.com/office/2011/relationships/chartStyle" Target="style16.xml"/><Relationship Id="rId4" Type="http://schemas.openxmlformats.org/officeDocument/2006/relationships/oleObject" Target="NULL" TargetMode="External"/></Relationships>
</file>

<file path=word/charts/_rels/chart19.xml.rels><?xml version="1.0" encoding="UTF-8" standalone="yes"?>
<Relationships xmlns="http://schemas.openxmlformats.org/package/2006/relationships"><Relationship Id="rId3" Type="http://schemas.openxmlformats.org/officeDocument/2006/relationships/themeOverride" Target="../theme/themeOverride19.xml"/><Relationship Id="rId2" Type="http://schemas.microsoft.com/office/2011/relationships/chartColorStyle" Target="colors17.xml"/><Relationship Id="rId1" Type="http://schemas.microsoft.com/office/2011/relationships/chartStyle" Target="style17.xml"/><Relationship Id="rId4" Type="http://schemas.openxmlformats.org/officeDocument/2006/relationships/oleObject" Target="NULL"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NULL" TargetMode="Externa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NULL" TargetMode="Externa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NULL" TargetMode="External"/></Relationships>
</file>

<file path=word/charts/_rels/chart5.xml.rels><?xml version="1.0" encoding="UTF-8" standalone="yes"?>
<Relationships xmlns="http://schemas.openxmlformats.org/package/2006/relationships"><Relationship Id="rId2" Type="http://schemas.openxmlformats.org/officeDocument/2006/relationships/oleObject" Target="NULL" TargetMode="External"/><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NULL" TargetMode="Externa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NULL" TargetMode="Externa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oleObject" Target="NULL" TargetMode="External"/></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oleObject" Target="NULL"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[Licensing authorities’ approach to the Equality Act 2010 provisions on taxi wheelchair discrimination.xlsx]Statistics October!IntentOct</c:name>
    <c:fmtId val="-1"/>
  </c:pivotSource>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en-US" sz="1800" b="1" i="0" cap="none" baseline="0">
                <a:effectLst/>
              </a:rPr>
              <a:t>Taxi Licensing authorities intending S167 list by April 2018 (as of Nov. 2017)</a:t>
            </a:r>
            <a:endParaRPr lang="en-GB" cap="none" baseline="0">
              <a:effectLst/>
            </a:endParaRPr>
          </a:p>
        </c:rich>
      </c:tx>
      <c:overlay val="0"/>
      <c:spPr>
        <a:noFill/>
        <a:ln>
          <a:noFill/>
        </a:ln>
        <a:effectLst/>
      </c:spPr>
    </c:title>
    <c:autoTitleDeleted val="0"/>
    <c:pivotFmts>
      <c:pivotFmt>
        <c:idx val="0"/>
        <c:spPr>
          <a:solidFill>
            <a:schemeClr val="accent1"/>
          </a:solidFill>
          <a:ln>
            <a:noFill/>
          </a:ln>
          <a:effectLst>
            <a:outerShdw blurRad="63500" sx="102000" sy="102000" algn="ctr" rotWithShape="0">
              <a:prstClr val="black">
                <a:alpha val="20000"/>
              </a:prstClr>
            </a:outerShdw>
          </a:effectLst>
        </c:spPr>
        <c:marker>
          <c:symbol val="circle"/>
          <c:size val="6"/>
        </c:marke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1"/>
        <c:spPr>
          <a:solidFill>
            <a:schemeClr val="accent1"/>
          </a:solidFill>
          <a:ln>
            <a:noFill/>
          </a:ln>
          <a:effectLst>
            <a:outerShdw blurRad="63500" sx="102000" sy="102000" algn="ctr" rotWithShape="0">
              <a:prstClr val="black">
                <a:alpha val="20000"/>
              </a:prstClr>
            </a:outerShdw>
          </a:effectLst>
        </c:spPr>
        <c:marker>
          <c:symbol val="circle"/>
          <c:size val="6"/>
        </c:marke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2"/>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15:xForSave val="1"/>
            </c:ext>
          </c:extLst>
        </c:dLbl>
      </c:pivotFmt>
      <c:pivotFmt>
        <c:idx val="3"/>
        <c:spPr>
          <a:solidFill>
            <a:schemeClr val="accent2"/>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15:xForSave val="1"/>
            </c:ext>
          </c:extLst>
        </c:dLbl>
      </c:pivotFmt>
      <c:pivotFmt>
        <c:idx val="4"/>
        <c:spPr>
          <a:solidFill>
            <a:schemeClr val="accent3"/>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15:xForSave val="1"/>
            </c:ext>
          </c:extLst>
        </c:dLbl>
      </c:pivotFmt>
      <c:pivotFmt>
        <c:idx val="5"/>
        <c:spPr>
          <a:solidFill>
            <a:schemeClr val="accent4"/>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15:xForSave val="1"/>
            </c:ext>
          </c:extLst>
        </c:dLbl>
      </c:pivotFmt>
      <c:pivotFmt>
        <c:idx val="6"/>
        <c:spPr>
          <a:solidFill>
            <a:schemeClr val="accent5"/>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15:xForSave val="1"/>
            </c:ext>
          </c:extLst>
        </c:dLbl>
      </c:pivotFmt>
      <c:pivotFmt>
        <c:idx val="7"/>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15:xForSave val="1"/>
            </c:ext>
          </c:extLst>
        </c:dLbl>
      </c:pivotFmt>
      <c:pivotFmt>
        <c:idx val="8"/>
        <c:spPr>
          <a:solidFill>
            <a:schemeClr val="accent2"/>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15:xForSave val="1"/>
            </c:ext>
          </c:extLst>
        </c:dLbl>
      </c:pivotFmt>
      <c:pivotFmt>
        <c:idx val="9"/>
        <c:spPr>
          <a:solidFill>
            <a:schemeClr val="accent3"/>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15:xForSave val="1"/>
            </c:ext>
          </c:extLst>
        </c:dLbl>
      </c:pivotFmt>
      <c:pivotFmt>
        <c:idx val="10"/>
        <c:spPr>
          <a:solidFill>
            <a:schemeClr val="accent4"/>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15:xForSave val="1"/>
            </c:ext>
          </c:extLst>
        </c:dLbl>
      </c:pivotFmt>
      <c:pivotFmt>
        <c:idx val="11"/>
        <c:spPr>
          <a:solidFill>
            <a:schemeClr val="accent5"/>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15:xForSave val="1"/>
            </c:ext>
          </c:extLst>
        </c:dLbl>
      </c:pivotFmt>
      <c:pivotFmt>
        <c:idx val="12"/>
        <c:spPr>
          <a:ln w="15875" cmpd="tri">
            <a:solidFill>
              <a:schemeClr val="tx1"/>
            </a:solidFill>
          </a:ln>
          <a:effectLst>
            <a:outerShdw blurRad="50800" dist="63500" dir="2700000" algn="tl" rotWithShape="0">
              <a:prstClr val="black">
                <a:alpha val="40000"/>
              </a:prstClr>
            </a:outerShdw>
          </a:effectLst>
        </c:spPr>
        <c:marker>
          <c:symbol val="none"/>
        </c:marker>
        <c:dLbl>
          <c:idx val="0"/>
          <c:spPr>
            <a:solidFill>
              <a:sysClr val="window" lastClr="FFFFFF"/>
            </a:solidFill>
          </c:spPr>
          <c:txPr>
            <a:bodyPr rot="0" spcFirstLastPara="1" vertOverflow="ellipsis" vert="horz" wrap="square" lIns="38100" tIns="19050" rIns="38100" bIns="19050" anchor="ctr" anchorCtr="1">
              <a:spAutoFit/>
            </a:bodyPr>
            <a:lstStyle/>
            <a:p>
              <a:pPr>
                <a:defRPr sz="1400" b="1" i="0" u="none" strike="noStrike" kern="1200" spc="0" baseline="0">
                  <a:solidFill>
                    <a:schemeClr val="tx1"/>
                  </a:solidFill>
                  <a:latin typeface="+mn-lt"/>
                  <a:ea typeface="+mn-ea"/>
                  <a:cs typeface="+mn-cs"/>
                </a:defRPr>
              </a:pPr>
              <a:endParaRPr lang="en-US"/>
            </a:p>
          </c:txPr>
          <c:showLegendKey val="0"/>
          <c:showVal val="0"/>
          <c:showCatName val="0"/>
          <c:showSerName val="0"/>
          <c:showPercent val="1"/>
          <c:showBubbleSize val="0"/>
          <c:separator>
</c:separator>
          <c:extLst>
            <c:ext xmlns:c15="http://schemas.microsoft.com/office/drawing/2012/chart" uri="{CE6537A1-D6FC-4f65-9D91-7224C49458BB}"/>
          </c:extLst>
        </c:dLbl>
      </c:pivotFmt>
      <c:pivotFmt>
        <c:idx val="13"/>
        <c:spPr>
          <a:solidFill>
            <a:srgbClr val="99BD66"/>
          </a:solidFill>
          <a:ln w="15875" cmpd="tri">
            <a:solidFill>
              <a:schemeClr val="tx1"/>
            </a:solidFill>
          </a:ln>
          <a:effectLst>
            <a:outerShdw blurRad="50800" dist="63500" dir="2700000" algn="tl" rotWithShape="0">
              <a:prstClr val="black">
                <a:alpha val="40000"/>
              </a:prstClr>
            </a:outerShdw>
          </a:effectLst>
        </c:spPr>
        <c:dLbl>
          <c:idx val="0"/>
          <c:spPr>
            <a:solidFill>
              <a:sysClr val="window" lastClr="FFFFFF"/>
            </a:solidFill>
            <a:ln>
              <a:noFill/>
            </a:ln>
            <a:effectLst/>
          </c:spPr>
          <c:txPr>
            <a:bodyPr rot="0" spcFirstLastPara="1" vertOverflow="ellipsis" vert="horz" wrap="square" lIns="38100" tIns="19050" rIns="38100" bIns="19050" anchor="ctr" anchorCtr="1">
              <a:spAutoFit/>
            </a:bodyPr>
            <a:lstStyle/>
            <a:p>
              <a:pPr>
                <a:defRPr sz="14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separator>
</c:separator>
          <c:extLst>
            <c:ext xmlns:c15="http://schemas.microsoft.com/office/drawing/2012/chart" uri="{CE6537A1-D6FC-4f65-9D91-7224C49458BB}"/>
          </c:extLst>
        </c:dLbl>
      </c:pivotFmt>
      <c:pivotFmt>
        <c:idx val="14"/>
        <c:spPr>
          <a:solidFill>
            <a:srgbClr val="C1FFC1"/>
          </a:solidFill>
          <a:ln w="15875" cmpd="tri">
            <a:solidFill>
              <a:schemeClr val="tx1"/>
            </a:solidFill>
          </a:ln>
          <a:effectLst>
            <a:outerShdw blurRad="50800" dist="63500" dir="2700000" algn="tl" rotWithShape="0">
              <a:prstClr val="black">
                <a:alpha val="40000"/>
              </a:prstClr>
            </a:outerShdw>
          </a:effectLst>
        </c:spPr>
        <c:dLbl>
          <c:idx val="0"/>
          <c:spPr>
            <a:solidFill>
              <a:sysClr val="window" lastClr="FFFFFF"/>
            </a:solidFill>
            <a:ln>
              <a:noFill/>
            </a:ln>
            <a:effectLst/>
          </c:spPr>
          <c:txPr>
            <a:bodyPr rot="0" spcFirstLastPara="1" vertOverflow="ellipsis" vert="horz" wrap="square" lIns="38100" tIns="19050" rIns="38100" bIns="19050" anchor="ctr" anchorCtr="1">
              <a:spAutoFit/>
            </a:bodyPr>
            <a:lstStyle/>
            <a:p>
              <a:pPr>
                <a:defRPr sz="14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separator>
</c:separator>
          <c:extLst>
            <c:ext xmlns:c15="http://schemas.microsoft.com/office/drawing/2012/chart" uri="{CE6537A1-D6FC-4f65-9D91-7224C49458BB}"/>
          </c:extLst>
        </c:dLbl>
      </c:pivotFmt>
      <c:pivotFmt>
        <c:idx val="15"/>
        <c:spPr>
          <a:solidFill>
            <a:srgbClr val="FFFF66"/>
          </a:solidFill>
          <a:ln w="15875" cmpd="tri">
            <a:solidFill>
              <a:schemeClr val="tx1"/>
            </a:solidFill>
          </a:ln>
          <a:effectLst>
            <a:outerShdw blurRad="50800" dist="63500" dir="2700000" algn="tl" rotWithShape="0">
              <a:prstClr val="black">
                <a:alpha val="40000"/>
              </a:prstClr>
            </a:outerShdw>
          </a:effectLst>
        </c:spPr>
        <c:dLbl>
          <c:idx val="0"/>
          <c:layout>
            <c:manualLayout>
              <c:x val="0.1661872970094137"/>
              <c:y val="-1.8763288391768128E-2"/>
            </c:manualLayout>
          </c:layout>
          <c:spPr>
            <a:solidFill>
              <a:sysClr val="window" lastClr="FFFFFF"/>
            </a:solidFill>
            <a:ln>
              <a:noFill/>
            </a:ln>
            <a:effectLst/>
          </c:spPr>
          <c:txPr>
            <a:bodyPr rot="0" spcFirstLastPara="1" vertOverflow="ellipsis" vert="horz" wrap="square" lIns="38100" tIns="19050" rIns="38100" bIns="19050" anchor="ctr" anchorCtr="1">
              <a:spAutoFit/>
            </a:bodyPr>
            <a:lstStyle/>
            <a:p>
              <a:pPr>
                <a:defRPr sz="1400" b="1" i="0" u="none" strike="noStrike" kern="1200" spc="0" baseline="0">
                  <a:solidFill>
                    <a:schemeClr val="tx1"/>
                  </a:solidFill>
                  <a:latin typeface="+mn-lt"/>
                  <a:ea typeface="+mn-ea"/>
                  <a:cs typeface="+mn-cs"/>
                </a:defRPr>
              </a:pPr>
              <a:endParaRPr lang="en-US"/>
            </a:p>
          </c:txPr>
          <c:dLblPos val="bestFit"/>
          <c:showLegendKey val="0"/>
          <c:showVal val="0"/>
          <c:showCatName val="1"/>
          <c:showSerName val="0"/>
          <c:showPercent val="1"/>
          <c:showBubbleSize val="0"/>
          <c:separator>
</c:separator>
          <c:extLst>
            <c:ext xmlns:c15="http://schemas.microsoft.com/office/drawing/2012/chart" uri="{CE6537A1-D6FC-4f65-9D91-7224C49458BB}"/>
          </c:extLst>
        </c:dLbl>
      </c:pivotFmt>
      <c:pivotFmt>
        <c:idx val="16"/>
        <c:spPr>
          <a:solidFill>
            <a:srgbClr val="FFC267"/>
          </a:solidFill>
          <a:ln w="15875" cmpd="tri">
            <a:solidFill>
              <a:schemeClr val="tx1"/>
            </a:solidFill>
          </a:ln>
          <a:effectLst>
            <a:outerShdw blurRad="50800" dist="63500" dir="2700000" algn="tl" rotWithShape="0">
              <a:prstClr val="black">
                <a:alpha val="40000"/>
              </a:prstClr>
            </a:outerShdw>
          </a:effectLst>
        </c:spPr>
        <c:dLbl>
          <c:idx val="0"/>
          <c:spPr>
            <a:solidFill>
              <a:sysClr val="window" lastClr="FFFFFF"/>
            </a:solidFill>
            <a:ln>
              <a:noFill/>
            </a:ln>
            <a:effectLst/>
          </c:spPr>
          <c:txPr>
            <a:bodyPr rot="0" spcFirstLastPara="1" vertOverflow="ellipsis" vert="horz" wrap="square" lIns="38100" tIns="19050" rIns="38100" bIns="19050" anchor="ctr" anchorCtr="1">
              <a:spAutoFit/>
            </a:bodyPr>
            <a:lstStyle/>
            <a:p>
              <a:pPr>
                <a:defRPr sz="14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separator>
</c:separator>
          <c:extLst>
            <c:ext xmlns:c15="http://schemas.microsoft.com/office/drawing/2012/chart" uri="{CE6537A1-D6FC-4f65-9D91-7224C49458BB}"/>
          </c:extLst>
        </c:dLbl>
      </c:pivotFmt>
      <c:pivotFmt>
        <c:idx val="17"/>
        <c:spPr>
          <a:solidFill>
            <a:srgbClr val="FF7D67"/>
          </a:solidFill>
          <a:ln w="15875" cmpd="tri">
            <a:solidFill>
              <a:schemeClr val="tx1"/>
            </a:solidFill>
          </a:ln>
          <a:effectLst>
            <a:outerShdw blurRad="50800" dist="63500" dir="2700000" algn="tl" rotWithShape="0">
              <a:prstClr val="black">
                <a:alpha val="40000"/>
              </a:prstClr>
            </a:outerShdw>
          </a:effectLst>
        </c:spPr>
        <c:dLbl>
          <c:idx val="0"/>
          <c:spPr>
            <a:solidFill>
              <a:sysClr val="window" lastClr="FFFFFF"/>
            </a:solidFill>
            <a:ln>
              <a:noFill/>
            </a:ln>
            <a:effectLst/>
          </c:spPr>
          <c:txPr>
            <a:bodyPr rot="0" spcFirstLastPara="1" vertOverflow="ellipsis" vert="horz" wrap="square" lIns="38100" tIns="19050" rIns="38100" bIns="19050" anchor="ctr" anchorCtr="1">
              <a:spAutoFit/>
            </a:bodyPr>
            <a:lstStyle/>
            <a:p>
              <a:pPr>
                <a:defRPr sz="14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separator>
</c:separator>
          <c:extLst>
            <c:ext xmlns:c15="http://schemas.microsoft.com/office/drawing/2012/chart" uri="{CE6537A1-D6FC-4f65-9D91-7224C49458BB}"/>
          </c:extLst>
        </c:dLbl>
      </c:pivotFmt>
      <c:pivotFmt>
        <c:idx val="18"/>
        <c:spPr>
          <a:solidFill>
            <a:schemeClr val="accent1"/>
          </a:solidFill>
          <a:ln>
            <a:noFill/>
          </a:ln>
          <a:effectLst>
            <a:outerShdw blurRad="63500" sx="102000" sy="102000" algn="ctr" rotWithShape="0">
              <a:prstClr val="black">
                <a:alpha val="20000"/>
              </a:prstClr>
            </a:outerShdw>
          </a:effectLst>
        </c:spPr>
        <c:marker>
          <c:symbol val="none"/>
        </c:marker>
        <c:dLbl>
          <c:idx val="0"/>
          <c:delete val="1"/>
          <c:extLst>
            <c:ext xmlns:c15="http://schemas.microsoft.com/office/drawing/2012/chart" uri="{CE6537A1-D6FC-4f65-9D91-7224C49458BB}"/>
          </c:extLst>
        </c:dLbl>
      </c:pivotFmt>
      <c:pivotFmt>
        <c:idx val="19"/>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20"/>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21"/>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22"/>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23"/>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24"/>
        <c:spPr>
          <a:solidFill>
            <a:srgbClr val="99BD66"/>
          </a:solidFill>
          <a:ln w="15875" cmpd="tri">
            <a:solidFill>
              <a:schemeClr val="tx1"/>
            </a:solidFill>
          </a:ln>
          <a:effectLst>
            <a:outerShdw blurRad="50800" dist="63500" dir="2700000" algn="tl" rotWithShape="0">
              <a:prstClr val="black">
                <a:alpha val="40000"/>
              </a:prstClr>
            </a:outerShdw>
          </a:effectLst>
        </c:spPr>
        <c:dLbl>
          <c:idx val="0"/>
          <c:spPr>
            <a:solidFill>
              <a:sysClr val="window" lastClr="FFFFFF"/>
            </a:solidFill>
            <a:ln>
              <a:noFill/>
            </a:ln>
            <a:effectLst/>
          </c:spPr>
          <c:txPr>
            <a:bodyPr rot="0" spcFirstLastPara="1" vertOverflow="ellipsis" vert="horz" wrap="square" lIns="38100" tIns="19050" rIns="38100" bIns="19050" anchor="ctr" anchorCtr="1">
              <a:spAutoFit/>
            </a:bodyPr>
            <a:lstStyle/>
            <a:p>
              <a:pPr>
                <a:defRPr sz="14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separator>
</c:separator>
          <c:extLst>
            <c:ext xmlns:c15="http://schemas.microsoft.com/office/drawing/2012/chart" uri="{CE6537A1-D6FC-4f65-9D91-7224C49458BB}"/>
          </c:extLst>
        </c:dLbl>
      </c:pivotFmt>
      <c:pivotFmt>
        <c:idx val="25"/>
        <c:spPr>
          <a:solidFill>
            <a:srgbClr val="C1FFC1"/>
          </a:solidFill>
          <a:ln w="15875" cmpd="tri">
            <a:solidFill>
              <a:schemeClr val="tx1"/>
            </a:solidFill>
          </a:ln>
          <a:effectLst>
            <a:outerShdw blurRad="50800" dist="63500" dir="2700000" algn="tl" rotWithShape="0">
              <a:prstClr val="black">
                <a:alpha val="40000"/>
              </a:prstClr>
            </a:outerShdw>
          </a:effectLst>
        </c:spPr>
        <c:dLbl>
          <c:idx val="0"/>
          <c:spPr>
            <a:solidFill>
              <a:sysClr val="window" lastClr="FFFFFF"/>
            </a:solidFill>
            <a:ln>
              <a:noFill/>
            </a:ln>
            <a:effectLst/>
          </c:spPr>
          <c:txPr>
            <a:bodyPr rot="0" spcFirstLastPara="1" vertOverflow="ellipsis" vert="horz" wrap="square" lIns="38100" tIns="19050" rIns="38100" bIns="19050" anchor="ctr" anchorCtr="1">
              <a:spAutoFit/>
            </a:bodyPr>
            <a:lstStyle/>
            <a:p>
              <a:pPr>
                <a:defRPr sz="14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separator>
</c:separator>
          <c:extLst>
            <c:ext xmlns:c15="http://schemas.microsoft.com/office/drawing/2012/chart" uri="{CE6537A1-D6FC-4f65-9D91-7224C49458BB}"/>
          </c:extLst>
        </c:dLbl>
      </c:pivotFmt>
      <c:pivotFmt>
        <c:idx val="26"/>
        <c:spPr>
          <a:solidFill>
            <a:srgbClr val="FFFF66"/>
          </a:solidFill>
          <a:ln w="15875" cmpd="tri">
            <a:solidFill>
              <a:schemeClr val="tx1"/>
            </a:solidFill>
          </a:ln>
          <a:effectLst>
            <a:outerShdw blurRad="50800" dist="63500" dir="2700000" algn="tl" rotWithShape="0">
              <a:prstClr val="black">
                <a:alpha val="40000"/>
              </a:prstClr>
            </a:outerShdw>
          </a:effectLst>
        </c:spPr>
        <c:dLbl>
          <c:idx val="0"/>
          <c:layout>
            <c:manualLayout>
              <c:x val="0.18919784582610177"/>
              <c:y val="-1.60805251456245E-2"/>
            </c:manualLayout>
          </c:layout>
          <c:spPr>
            <a:solidFill>
              <a:sysClr val="window" lastClr="FFFFFF"/>
            </a:solidFill>
            <a:ln>
              <a:noFill/>
            </a:ln>
            <a:effectLst/>
          </c:spPr>
          <c:txPr>
            <a:bodyPr rot="0" spcFirstLastPara="1" vertOverflow="ellipsis" vert="horz" wrap="square" lIns="38100" tIns="19050" rIns="38100" bIns="19050" anchor="ctr" anchorCtr="1">
              <a:spAutoFit/>
            </a:bodyPr>
            <a:lstStyle/>
            <a:p>
              <a:pPr>
                <a:defRPr sz="1400" b="1" i="0" u="none" strike="noStrike" kern="1200" spc="0" baseline="0">
                  <a:solidFill>
                    <a:schemeClr val="tx1"/>
                  </a:solidFill>
                  <a:latin typeface="+mn-lt"/>
                  <a:ea typeface="+mn-ea"/>
                  <a:cs typeface="+mn-cs"/>
                </a:defRPr>
              </a:pPr>
              <a:endParaRPr lang="en-US"/>
            </a:p>
          </c:txPr>
          <c:dLblPos val="bestFit"/>
          <c:showLegendKey val="0"/>
          <c:showVal val="0"/>
          <c:showCatName val="1"/>
          <c:showSerName val="0"/>
          <c:showPercent val="1"/>
          <c:showBubbleSize val="0"/>
          <c:separator>
</c:separator>
          <c:extLst>
            <c:ext xmlns:c15="http://schemas.microsoft.com/office/drawing/2012/chart" uri="{CE6537A1-D6FC-4f65-9D91-7224C49458BB}"/>
          </c:extLst>
        </c:dLbl>
      </c:pivotFmt>
      <c:pivotFmt>
        <c:idx val="27"/>
        <c:spPr>
          <a:solidFill>
            <a:srgbClr val="FFC267"/>
          </a:solidFill>
          <a:ln w="15875" cmpd="tri">
            <a:solidFill>
              <a:schemeClr val="tx1"/>
            </a:solidFill>
          </a:ln>
          <a:effectLst>
            <a:outerShdw blurRad="50800" dist="63500" dir="2700000" algn="tl" rotWithShape="0">
              <a:prstClr val="black">
                <a:alpha val="40000"/>
              </a:prstClr>
            </a:outerShdw>
          </a:effectLst>
        </c:spPr>
        <c:dLbl>
          <c:idx val="0"/>
          <c:spPr>
            <a:solidFill>
              <a:sysClr val="window" lastClr="FFFFFF"/>
            </a:solidFill>
            <a:ln>
              <a:noFill/>
            </a:ln>
            <a:effectLst/>
          </c:spPr>
          <c:txPr>
            <a:bodyPr rot="0" spcFirstLastPara="1" vertOverflow="ellipsis" vert="horz" wrap="square" lIns="38100" tIns="19050" rIns="38100" bIns="19050" anchor="ctr" anchorCtr="1">
              <a:spAutoFit/>
            </a:bodyPr>
            <a:lstStyle/>
            <a:p>
              <a:pPr>
                <a:defRPr sz="14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separator>
</c:separator>
          <c:extLst>
            <c:ext xmlns:c15="http://schemas.microsoft.com/office/drawing/2012/chart" uri="{CE6537A1-D6FC-4f65-9D91-7224C49458BB}"/>
          </c:extLst>
        </c:dLbl>
      </c:pivotFmt>
      <c:pivotFmt>
        <c:idx val="28"/>
        <c:spPr>
          <a:solidFill>
            <a:srgbClr val="FF7D67"/>
          </a:solidFill>
          <a:ln w="15875" cmpd="tri">
            <a:solidFill>
              <a:schemeClr val="tx1"/>
            </a:solidFill>
          </a:ln>
          <a:effectLst>
            <a:outerShdw blurRad="50800" dist="63500" dir="2700000" algn="tl" rotWithShape="0">
              <a:prstClr val="black">
                <a:alpha val="40000"/>
              </a:prstClr>
            </a:outerShdw>
          </a:effectLst>
        </c:spPr>
        <c:dLbl>
          <c:idx val="0"/>
          <c:spPr>
            <a:solidFill>
              <a:sysClr val="window" lastClr="FFFFFF"/>
            </a:solidFill>
            <a:ln>
              <a:noFill/>
            </a:ln>
            <a:effectLst/>
          </c:spPr>
          <c:txPr>
            <a:bodyPr rot="0" spcFirstLastPara="1" vertOverflow="ellipsis" vert="horz" wrap="square" lIns="38100" tIns="19050" rIns="38100" bIns="19050" anchor="ctr" anchorCtr="1">
              <a:spAutoFit/>
            </a:bodyPr>
            <a:lstStyle/>
            <a:p>
              <a:pPr>
                <a:defRPr sz="14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separator>
</c:separator>
          <c:extLst>
            <c:ext xmlns:c15="http://schemas.microsoft.com/office/drawing/2012/chart" uri="{CE6537A1-D6FC-4f65-9D91-7224C49458BB}"/>
          </c:extLst>
        </c:dLbl>
      </c:pivotFmt>
      <c:pivotFmt>
        <c:idx val="29"/>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0"/>
          <c:showCatName val="0"/>
          <c:showSerName val="0"/>
          <c:showPercent val="1"/>
          <c:showBubbleSize val="0"/>
          <c:extLst>
            <c:ext xmlns:c15="http://schemas.microsoft.com/office/drawing/2012/chart" uri="{CE6537A1-D6FC-4f65-9D91-7224C49458BB}"/>
          </c:extLst>
        </c:dLbl>
      </c:pivotFmt>
      <c:pivotFmt>
        <c:idx val="30"/>
        <c:spPr>
          <a:solidFill>
            <a:schemeClr val="accent1"/>
          </a:solidFill>
          <a:ln>
            <a:noFill/>
          </a:ln>
          <a:effectLst>
            <a:outerShdw blurRad="63500" sx="102000" sy="102000" algn="ctr" rotWithShape="0">
              <a:prstClr val="black">
                <a:alpha val="20000"/>
              </a:prstClr>
            </a:outerShdw>
          </a:effectLst>
        </c:spPr>
      </c:pivotFmt>
      <c:pivotFmt>
        <c:idx val="31"/>
        <c:spPr>
          <a:solidFill>
            <a:schemeClr val="accent2"/>
          </a:solidFill>
          <a:ln>
            <a:noFill/>
          </a:ln>
          <a:effectLst>
            <a:outerShdw blurRad="63500" sx="102000" sy="102000" algn="ctr" rotWithShape="0">
              <a:prstClr val="black">
                <a:alpha val="20000"/>
              </a:prstClr>
            </a:outerShdw>
          </a:effectLst>
        </c:spPr>
      </c:pivotFmt>
      <c:pivotFmt>
        <c:idx val="32"/>
        <c:spPr>
          <a:solidFill>
            <a:schemeClr val="accent3"/>
          </a:solidFill>
          <a:ln>
            <a:noFill/>
          </a:ln>
          <a:effectLst>
            <a:outerShdw blurRad="63500" sx="102000" sy="102000" algn="ctr" rotWithShape="0">
              <a:prstClr val="black">
                <a:alpha val="20000"/>
              </a:prstClr>
            </a:outerShdw>
          </a:effectLst>
        </c:spPr>
      </c:pivotFmt>
      <c:pivotFmt>
        <c:idx val="33"/>
        <c:spPr>
          <a:solidFill>
            <a:schemeClr val="accent4"/>
          </a:solidFill>
          <a:ln>
            <a:noFill/>
          </a:ln>
          <a:effectLst>
            <a:outerShdw blurRad="63500" sx="102000" sy="102000" algn="ctr" rotWithShape="0">
              <a:prstClr val="black">
                <a:alpha val="20000"/>
              </a:prstClr>
            </a:outerShdw>
          </a:effectLst>
        </c:spPr>
      </c:pivotFmt>
      <c:pivotFmt>
        <c:idx val="34"/>
        <c:spPr>
          <a:solidFill>
            <a:schemeClr val="accent5"/>
          </a:solidFill>
          <a:ln>
            <a:noFill/>
          </a:ln>
          <a:effectLst>
            <a:outerShdw blurRad="63500" sx="102000" sy="102000" algn="ctr" rotWithShape="0">
              <a:prstClr val="black">
                <a:alpha val="20000"/>
              </a:prstClr>
            </a:outerShdw>
          </a:effectLst>
        </c:spPr>
      </c:pivotFmt>
      <c:pivotFmt>
        <c:idx val="35"/>
        <c:spPr>
          <a:ln w="15875" cmpd="tri">
            <a:solidFill>
              <a:schemeClr val="tx1"/>
            </a:solidFill>
          </a:ln>
          <a:effectLst>
            <a:outerShdw blurRad="50800" dist="63500" dir="2700000" algn="tl" rotWithShape="0">
              <a:prstClr val="black">
                <a:alpha val="40000"/>
              </a:prstClr>
            </a:outerShdw>
          </a:effectLst>
        </c:spPr>
        <c:marker>
          <c:symbol val="none"/>
        </c:marker>
        <c:dLbl>
          <c:idx val="0"/>
          <c:spPr>
            <a:solidFill>
              <a:sysClr val="window" lastClr="FFFFFF"/>
            </a:solidFill>
          </c:spPr>
          <c:txPr>
            <a:bodyPr rot="0" spcFirstLastPara="1" vertOverflow="ellipsis" vert="horz" wrap="square" lIns="38100" tIns="19050" rIns="38100" bIns="19050" anchor="ctr" anchorCtr="1">
              <a:spAutoFit/>
            </a:bodyPr>
            <a:lstStyle/>
            <a:p>
              <a:pPr>
                <a:defRPr sz="1400" b="1" i="0" u="none" strike="noStrike" kern="1200" spc="0" baseline="0">
                  <a:solidFill>
                    <a:schemeClr val="tx1"/>
                  </a:solidFill>
                  <a:latin typeface="+mn-lt"/>
                  <a:ea typeface="+mn-ea"/>
                  <a:cs typeface="+mn-cs"/>
                </a:defRPr>
              </a:pPr>
              <a:endParaRPr lang="en-US"/>
            </a:p>
          </c:txPr>
          <c:showLegendKey val="0"/>
          <c:showVal val="0"/>
          <c:showCatName val="0"/>
          <c:showSerName val="0"/>
          <c:showPercent val="1"/>
          <c:showBubbleSize val="0"/>
          <c:separator>
</c:separator>
          <c:extLst>
            <c:ext xmlns:c15="http://schemas.microsoft.com/office/drawing/2012/chart" uri="{CE6537A1-D6FC-4f65-9D91-7224C49458BB}"/>
          </c:extLst>
        </c:dLbl>
      </c:pivotFmt>
      <c:pivotFmt>
        <c:idx val="36"/>
        <c:spPr>
          <a:solidFill>
            <a:srgbClr val="99BD66"/>
          </a:solidFill>
          <a:ln w="15875" cmpd="tri">
            <a:solidFill>
              <a:schemeClr val="tx1"/>
            </a:solidFill>
          </a:ln>
          <a:effectLst>
            <a:outerShdw blurRad="50800" dist="63500" dir="2700000" algn="tl" rotWithShape="0">
              <a:prstClr val="black">
                <a:alpha val="40000"/>
              </a:prstClr>
            </a:outerShdw>
          </a:effectLst>
        </c:spPr>
        <c:dLbl>
          <c:idx val="0"/>
          <c:spPr>
            <a:solidFill>
              <a:sysClr val="window" lastClr="FFFFFF"/>
            </a:solidFill>
            <a:ln>
              <a:noFill/>
            </a:ln>
            <a:effectLst/>
          </c:spPr>
          <c:txPr>
            <a:bodyPr rot="0" spcFirstLastPara="1" vertOverflow="ellipsis" vert="horz" wrap="square" lIns="38100" tIns="19050" rIns="38100" bIns="19050" anchor="ctr" anchorCtr="1">
              <a:spAutoFit/>
            </a:bodyPr>
            <a:lstStyle/>
            <a:p>
              <a:pPr>
                <a:defRPr sz="14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separator>
</c:separator>
          <c:extLst>
            <c:ext xmlns:c15="http://schemas.microsoft.com/office/drawing/2012/chart" uri="{CE6537A1-D6FC-4f65-9D91-7224C49458BB}"/>
          </c:extLst>
        </c:dLbl>
      </c:pivotFmt>
      <c:pivotFmt>
        <c:idx val="37"/>
        <c:spPr>
          <a:solidFill>
            <a:srgbClr val="C1FFC1"/>
          </a:solidFill>
          <a:ln w="15875" cmpd="tri">
            <a:solidFill>
              <a:schemeClr val="tx1"/>
            </a:solidFill>
          </a:ln>
          <a:effectLst>
            <a:outerShdw blurRad="50800" dist="63500" dir="2700000" algn="tl" rotWithShape="0">
              <a:prstClr val="black">
                <a:alpha val="40000"/>
              </a:prstClr>
            </a:outerShdw>
          </a:effectLst>
        </c:spPr>
        <c:dLbl>
          <c:idx val="0"/>
          <c:spPr>
            <a:solidFill>
              <a:sysClr val="window" lastClr="FFFFFF"/>
            </a:solidFill>
            <a:ln>
              <a:noFill/>
            </a:ln>
            <a:effectLst/>
          </c:spPr>
          <c:txPr>
            <a:bodyPr rot="0" spcFirstLastPara="1" vertOverflow="ellipsis" vert="horz" wrap="square" lIns="38100" tIns="19050" rIns="38100" bIns="19050" anchor="ctr" anchorCtr="1">
              <a:spAutoFit/>
            </a:bodyPr>
            <a:lstStyle/>
            <a:p>
              <a:pPr>
                <a:defRPr sz="14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separator>
</c:separator>
          <c:extLst>
            <c:ext xmlns:c15="http://schemas.microsoft.com/office/drawing/2012/chart" uri="{CE6537A1-D6FC-4f65-9D91-7224C49458BB}"/>
          </c:extLst>
        </c:dLbl>
      </c:pivotFmt>
      <c:pivotFmt>
        <c:idx val="38"/>
        <c:spPr>
          <a:solidFill>
            <a:srgbClr val="FFFF66"/>
          </a:solidFill>
          <a:ln w="15875" cmpd="tri">
            <a:solidFill>
              <a:schemeClr val="tx1"/>
            </a:solidFill>
          </a:ln>
          <a:effectLst>
            <a:outerShdw blurRad="50800" dist="63500" dir="2700000" algn="tl" rotWithShape="0">
              <a:prstClr val="black">
                <a:alpha val="40000"/>
              </a:prstClr>
            </a:outerShdw>
          </a:effectLst>
        </c:spPr>
        <c:dLbl>
          <c:idx val="0"/>
          <c:layout>
            <c:manualLayout>
              <c:x val="0.18919784582610177"/>
              <c:y val="-1.60805251456245E-2"/>
            </c:manualLayout>
          </c:layout>
          <c:spPr>
            <a:solidFill>
              <a:sysClr val="window" lastClr="FFFFFF"/>
            </a:solidFill>
            <a:ln>
              <a:noFill/>
            </a:ln>
            <a:effectLst/>
          </c:spPr>
          <c:txPr>
            <a:bodyPr rot="0" spcFirstLastPara="1" vertOverflow="ellipsis" vert="horz" wrap="square" lIns="38100" tIns="19050" rIns="38100" bIns="19050" anchor="ctr" anchorCtr="1">
              <a:spAutoFit/>
            </a:bodyPr>
            <a:lstStyle/>
            <a:p>
              <a:pPr>
                <a:defRPr sz="1400" b="1" i="0" u="none" strike="noStrike" kern="1200" spc="0" baseline="0">
                  <a:solidFill>
                    <a:schemeClr val="tx1"/>
                  </a:solidFill>
                  <a:latin typeface="+mn-lt"/>
                  <a:ea typeface="+mn-ea"/>
                  <a:cs typeface="+mn-cs"/>
                </a:defRPr>
              </a:pPr>
              <a:endParaRPr lang="en-US"/>
            </a:p>
          </c:txPr>
          <c:dLblPos val="bestFit"/>
          <c:showLegendKey val="0"/>
          <c:showVal val="0"/>
          <c:showCatName val="1"/>
          <c:showSerName val="0"/>
          <c:showPercent val="1"/>
          <c:showBubbleSize val="0"/>
          <c:separator>
</c:separator>
          <c:extLst>
            <c:ext xmlns:c15="http://schemas.microsoft.com/office/drawing/2012/chart" uri="{CE6537A1-D6FC-4f65-9D91-7224C49458BB}"/>
          </c:extLst>
        </c:dLbl>
      </c:pivotFmt>
      <c:pivotFmt>
        <c:idx val="39"/>
        <c:spPr>
          <a:solidFill>
            <a:srgbClr val="FFC267"/>
          </a:solidFill>
          <a:ln w="15875" cmpd="tri">
            <a:solidFill>
              <a:schemeClr val="tx1"/>
            </a:solidFill>
          </a:ln>
          <a:effectLst>
            <a:outerShdw blurRad="50800" dist="63500" dir="2700000" algn="tl" rotWithShape="0">
              <a:prstClr val="black">
                <a:alpha val="40000"/>
              </a:prstClr>
            </a:outerShdw>
          </a:effectLst>
        </c:spPr>
        <c:dLbl>
          <c:idx val="0"/>
          <c:spPr>
            <a:solidFill>
              <a:sysClr val="window" lastClr="FFFFFF"/>
            </a:solidFill>
            <a:ln>
              <a:noFill/>
            </a:ln>
            <a:effectLst/>
          </c:spPr>
          <c:txPr>
            <a:bodyPr rot="0" spcFirstLastPara="1" vertOverflow="ellipsis" vert="horz" wrap="square" lIns="38100" tIns="19050" rIns="38100" bIns="19050" anchor="ctr" anchorCtr="1">
              <a:spAutoFit/>
            </a:bodyPr>
            <a:lstStyle/>
            <a:p>
              <a:pPr>
                <a:defRPr sz="14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separator>
</c:separator>
          <c:extLst>
            <c:ext xmlns:c15="http://schemas.microsoft.com/office/drawing/2012/chart" uri="{CE6537A1-D6FC-4f65-9D91-7224C49458BB}"/>
          </c:extLst>
        </c:dLbl>
      </c:pivotFmt>
      <c:pivotFmt>
        <c:idx val="40"/>
        <c:spPr>
          <a:solidFill>
            <a:srgbClr val="FF7D67"/>
          </a:solidFill>
          <a:ln w="15875" cmpd="tri">
            <a:solidFill>
              <a:schemeClr val="tx1"/>
            </a:solidFill>
          </a:ln>
          <a:effectLst>
            <a:outerShdw blurRad="50800" dist="63500" dir="2700000" algn="tl" rotWithShape="0">
              <a:prstClr val="black">
                <a:alpha val="40000"/>
              </a:prstClr>
            </a:outerShdw>
          </a:effectLst>
        </c:spPr>
        <c:dLbl>
          <c:idx val="0"/>
          <c:spPr>
            <a:solidFill>
              <a:sysClr val="window" lastClr="FFFFFF"/>
            </a:solidFill>
            <a:ln>
              <a:noFill/>
            </a:ln>
            <a:effectLst/>
          </c:spPr>
          <c:txPr>
            <a:bodyPr rot="0" spcFirstLastPara="1" vertOverflow="ellipsis" vert="horz" wrap="square" lIns="38100" tIns="19050" rIns="38100" bIns="19050" anchor="ctr" anchorCtr="1">
              <a:spAutoFit/>
            </a:bodyPr>
            <a:lstStyle/>
            <a:p>
              <a:pPr>
                <a:defRPr sz="14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separator>
</c:separator>
          <c:extLst>
            <c:ext xmlns:c15="http://schemas.microsoft.com/office/drawing/2012/chart" uri="{CE6537A1-D6FC-4f65-9D91-7224C49458BB}"/>
          </c:extLst>
        </c:dLbl>
      </c:pivotFmt>
      <c:pivotFmt>
        <c:idx val="41"/>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0"/>
          <c:showCatName val="0"/>
          <c:showSerName val="0"/>
          <c:showPercent val="1"/>
          <c:showBubbleSize val="0"/>
          <c:extLst>
            <c:ext xmlns:c15="http://schemas.microsoft.com/office/drawing/2012/chart" uri="{CE6537A1-D6FC-4f65-9D91-7224C49458BB}"/>
          </c:extLst>
        </c:dLbl>
      </c:pivotFmt>
      <c:pivotFmt>
        <c:idx val="42"/>
        <c:spPr>
          <a:solidFill>
            <a:schemeClr val="accent1"/>
          </a:solidFill>
          <a:ln>
            <a:noFill/>
          </a:ln>
          <a:effectLst>
            <a:outerShdw blurRad="63500" sx="102000" sy="102000" algn="ctr" rotWithShape="0">
              <a:prstClr val="black">
                <a:alpha val="20000"/>
              </a:prstClr>
            </a:outerShdw>
          </a:effectLst>
        </c:spPr>
      </c:pivotFmt>
      <c:pivotFmt>
        <c:idx val="43"/>
        <c:spPr>
          <a:solidFill>
            <a:schemeClr val="accent2"/>
          </a:solidFill>
          <a:ln>
            <a:noFill/>
          </a:ln>
          <a:effectLst>
            <a:outerShdw blurRad="63500" sx="102000" sy="102000" algn="ctr" rotWithShape="0">
              <a:prstClr val="black">
                <a:alpha val="20000"/>
              </a:prstClr>
            </a:outerShdw>
          </a:effectLst>
        </c:spPr>
      </c:pivotFmt>
      <c:pivotFmt>
        <c:idx val="44"/>
        <c:spPr>
          <a:solidFill>
            <a:schemeClr val="accent3"/>
          </a:solidFill>
          <a:ln>
            <a:noFill/>
          </a:ln>
          <a:effectLst>
            <a:outerShdw blurRad="63500" sx="102000" sy="102000" algn="ctr" rotWithShape="0">
              <a:prstClr val="black">
                <a:alpha val="20000"/>
              </a:prstClr>
            </a:outerShdw>
          </a:effectLst>
        </c:spPr>
      </c:pivotFmt>
      <c:pivotFmt>
        <c:idx val="45"/>
        <c:spPr>
          <a:solidFill>
            <a:schemeClr val="accent4"/>
          </a:solidFill>
          <a:ln>
            <a:noFill/>
          </a:ln>
          <a:effectLst>
            <a:outerShdw blurRad="63500" sx="102000" sy="102000" algn="ctr" rotWithShape="0">
              <a:prstClr val="black">
                <a:alpha val="20000"/>
              </a:prstClr>
            </a:outerShdw>
          </a:effectLst>
        </c:spPr>
      </c:pivotFmt>
      <c:pivotFmt>
        <c:idx val="46"/>
        <c:spPr>
          <a:solidFill>
            <a:schemeClr val="accent5"/>
          </a:solidFill>
          <a:ln>
            <a:noFill/>
          </a:ln>
          <a:effectLst>
            <a:outerShdw blurRad="63500" sx="102000" sy="102000" algn="ctr" rotWithShape="0">
              <a:prstClr val="black">
                <a:alpha val="20000"/>
              </a:prstClr>
            </a:outerShdw>
          </a:effectLst>
        </c:spPr>
      </c:pivotFmt>
      <c:pivotFmt>
        <c:idx val="47"/>
        <c:spPr>
          <a:ln w="15875" cmpd="tri">
            <a:solidFill>
              <a:schemeClr val="tx1"/>
            </a:solidFill>
          </a:ln>
          <a:effectLst>
            <a:outerShdw blurRad="50800" dist="63500" dir="2700000" algn="tl" rotWithShape="0">
              <a:prstClr val="black">
                <a:alpha val="40000"/>
              </a:prstClr>
            </a:outerShdw>
          </a:effectLst>
        </c:spPr>
        <c:marker>
          <c:symbol val="none"/>
        </c:marker>
        <c:dLbl>
          <c:idx val="0"/>
          <c:spPr>
            <a:solidFill>
              <a:sysClr val="window" lastClr="FFFFFF"/>
            </a:solidFill>
          </c:spPr>
          <c:txPr>
            <a:bodyPr rot="0" spcFirstLastPara="1" vertOverflow="ellipsis" vert="horz" wrap="square" lIns="38100" tIns="19050" rIns="38100" bIns="19050" anchor="ctr" anchorCtr="1">
              <a:spAutoFit/>
            </a:bodyPr>
            <a:lstStyle/>
            <a:p>
              <a:pPr>
                <a:defRPr sz="1400" b="1" i="0" u="none" strike="noStrike" kern="1200" spc="0" baseline="0">
                  <a:solidFill>
                    <a:schemeClr val="tx1"/>
                  </a:solidFill>
                  <a:latin typeface="+mn-lt"/>
                  <a:ea typeface="+mn-ea"/>
                  <a:cs typeface="+mn-cs"/>
                </a:defRPr>
              </a:pPr>
              <a:endParaRPr lang="en-US"/>
            </a:p>
          </c:txPr>
          <c:showLegendKey val="0"/>
          <c:showVal val="0"/>
          <c:showCatName val="0"/>
          <c:showSerName val="0"/>
          <c:showPercent val="1"/>
          <c:showBubbleSize val="0"/>
          <c:separator>
</c:separator>
          <c:extLst>
            <c:ext xmlns:c15="http://schemas.microsoft.com/office/drawing/2012/chart" uri="{CE6537A1-D6FC-4f65-9D91-7224C49458BB}"/>
          </c:extLst>
        </c:dLbl>
      </c:pivotFmt>
      <c:pivotFmt>
        <c:idx val="48"/>
        <c:spPr>
          <a:solidFill>
            <a:srgbClr val="99BD66"/>
          </a:solidFill>
          <a:ln w="15875" cmpd="tri">
            <a:solidFill>
              <a:schemeClr val="tx1"/>
            </a:solidFill>
          </a:ln>
          <a:effectLst>
            <a:outerShdw blurRad="50800" dist="63500" dir="2700000" algn="tl" rotWithShape="0">
              <a:prstClr val="black">
                <a:alpha val="40000"/>
              </a:prstClr>
            </a:outerShdw>
          </a:effectLst>
        </c:spPr>
        <c:dLbl>
          <c:idx val="0"/>
          <c:spPr>
            <a:solidFill>
              <a:sysClr val="window" lastClr="FFFFFF"/>
            </a:solidFill>
            <a:ln>
              <a:noFill/>
            </a:ln>
            <a:effectLst/>
          </c:spPr>
          <c:txPr>
            <a:bodyPr rot="0" spcFirstLastPara="1" vertOverflow="ellipsis" vert="horz" wrap="square" lIns="38100" tIns="19050" rIns="38100" bIns="19050" anchor="ctr" anchorCtr="1">
              <a:spAutoFit/>
            </a:bodyPr>
            <a:lstStyle/>
            <a:p>
              <a:pPr>
                <a:defRPr sz="14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separator>
</c:separator>
          <c:extLst>
            <c:ext xmlns:c15="http://schemas.microsoft.com/office/drawing/2012/chart" uri="{CE6537A1-D6FC-4f65-9D91-7224C49458BB}"/>
          </c:extLst>
        </c:dLbl>
      </c:pivotFmt>
      <c:pivotFmt>
        <c:idx val="49"/>
        <c:spPr>
          <a:solidFill>
            <a:srgbClr val="C1FFC1"/>
          </a:solidFill>
          <a:ln w="15875" cmpd="tri">
            <a:solidFill>
              <a:schemeClr val="tx1"/>
            </a:solidFill>
          </a:ln>
          <a:effectLst>
            <a:outerShdw blurRad="50800" dist="63500" dir="2700000" algn="tl" rotWithShape="0">
              <a:prstClr val="black">
                <a:alpha val="40000"/>
              </a:prstClr>
            </a:outerShdw>
          </a:effectLst>
        </c:spPr>
        <c:dLbl>
          <c:idx val="0"/>
          <c:spPr>
            <a:solidFill>
              <a:sysClr val="window" lastClr="FFFFFF"/>
            </a:solidFill>
            <a:ln>
              <a:noFill/>
            </a:ln>
            <a:effectLst/>
          </c:spPr>
          <c:txPr>
            <a:bodyPr rot="0" spcFirstLastPara="1" vertOverflow="ellipsis" vert="horz" wrap="square" lIns="38100" tIns="19050" rIns="38100" bIns="19050" anchor="ctr" anchorCtr="1">
              <a:spAutoFit/>
            </a:bodyPr>
            <a:lstStyle/>
            <a:p>
              <a:pPr>
                <a:defRPr sz="14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separator>
</c:separator>
          <c:extLst>
            <c:ext xmlns:c15="http://schemas.microsoft.com/office/drawing/2012/chart" uri="{CE6537A1-D6FC-4f65-9D91-7224C49458BB}"/>
          </c:extLst>
        </c:dLbl>
      </c:pivotFmt>
      <c:pivotFmt>
        <c:idx val="50"/>
        <c:spPr>
          <a:solidFill>
            <a:srgbClr val="FFFF66"/>
          </a:solidFill>
          <a:ln w="15875" cmpd="tri">
            <a:solidFill>
              <a:schemeClr val="tx1"/>
            </a:solidFill>
          </a:ln>
          <a:effectLst>
            <a:outerShdw blurRad="50800" dist="63500" dir="2700000" algn="tl" rotWithShape="0">
              <a:prstClr val="black">
                <a:alpha val="40000"/>
              </a:prstClr>
            </a:outerShdw>
          </a:effectLst>
        </c:spPr>
        <c:dLbl>
          <c:idx val="0"/>
          <c:layout>
            <c:manualLayout>
              <c:x val="0.18919784582610177"/>
              <c:y val="-1.60805251456245E-2"/>
            </c:manualLayout>
          </c:layout>
          <c:spPr>
            <a:solidFill>
              <a:sysClr val="window" lastClr="FFFFFF"/>
            </a:solidFill>
            <a:ln>
              <a:noFill/>
            </a:ln>
            <a:effectLst/>
          </c:spPr>
          <c:txPr>
            <a:bodyPr rot="0" spcFirstLastPara="1" vertOverflow="ellipsis" vert="horz" wrap="square" lIns="38100" tIns="19050" rIns="38100" bIns="19050" anchor="ctr" anchorCtr="1">
              <a:spAutoFit/>
            </a:bodyPr>
            <a:lstStyle/>
            <a:p>
              <a:pPr>
                <a:defRPr sz="1400" b="1" i="0" u="none" strike="noStrike" kern="1200" spc="0" baseline="0">
                  <a:solidFill>
                    <a:schemeClr val="tx1"/>
                  </a:solidFill>
                  <a:latin typeface="+mn-lt"/>
                  <a:ea typeface="+mn-ea"/>
                  <a:cs typeface="+mn-cs"/>
                </a:defRPr>
              </a:pPr>
              <a:endParaRPr lang="en-US"/>
            </a:p>
          </c:txPr>
          <c:dLblPos val="bestFit"/>
          <c:showLegendKey val="0"/>
          <c:showVal val="0"/>
          <c:showCatName val="1"/>
          <c:showSerName val="0"/>
          <c:showPercent val="1"/>
          <c:showBubbleSize val="0"/>
          <c:separator>
</c:separator>
          <c:extLst>
            <c:ext xmlns:c15="http://schemas.microsoft.com/office/drawing/2012/chart" uri="{CE6537A1-D6FC-4f65-9D91-7224C49458BB}"/>
          </c:extLst>
        </c:dLbl>
      </c:pivotFmt>
      <c:pivotFmt>
        <c:idx val="51"/>
        <c:spPr>
          <a:solidFill>
            <a:srgbClr val="FFC267"/>
          </a:solidFill>
          <a:ln w="15875" cmpd="tri">
            <a:solidFill>
              <a:schemeClr val="tx1"/>
            </a:solidFill>
          </a:ln>
          <a:effectLst>
            <a:outerShdw blurRad="50800" dist="63500" dir="2700000" algn="tl" rotWithShape="0">
              <a:prstClr val="black">
                <a:alpha val="40000"/>
              </a:prstClr>
            </a:outerShdw>
          </a:effectLst>
        </c:spPr>
        <c:dLbl>
          <c:idx val="0"/>
          <c:spPr>
            <a:solidFill>
              <a:sysClr val="window" lastClr="FFFFFF"/>
            </a:solidFill>
            <a:ln>
              <a:noFill/>
            </a:ln>
            <a:effectLst/>
          </c:spPr>
          <c:txPr>
            <a:bodyPr rot="0" spcFirstLastPara="1" vertOverflow="ellipsis" vert="horz" wrap="square" lIns="38100" tIns="19050" rIns="38100" bIns="19050" anchor="ctr" anchorCtr="1">
              <a:spAutoFit/>
            </a:bodyPr>
            <a:lstStyle/>
            <a:p>
              <a:pPr>
                <a:defRPr sz="14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separator>
</c:separator>
          <c:extLst>
            <c:ext xmlns:c15="http://schemas.microsoft.com/office/drawing/2012/chart" uri="{CE6537A1-D6FC-4f65-9D91-7224C49458BB}"/>
          </c:extLst>
        </c:dLbl>
      </c:pivotFmt>
      <c:pivotFmt>
        <c:idx val="52"/>
        <c:spPr>
          <a:solidFill>
            <a:srgbClr val="FF7D67"/>
          </a:solidFill>
          <a:ln w="15875" cmpd="tri">
            <a:solidFill>
              <a:schemeClr val="tx1"/>
            </a:solidFill>
          </a:ln>
          <a:effectLst>
            <a:outerShdw blurRad="50800" dist="63500" dir="2700000" algn="tl" rotWithShape="0">
              <a:prstClr val="black">
                <a:alpha val="40000"/>
              </a:prstClr>
            </a:outerShdw>
          </a:effectLst>
        </c:spPr>
        <c:dLbl>
          <c:idx val="0"/>
          <c:spPr>
            <a:solidFill>
              <a:sysClr val="window" lastClr="FFFFFF"/>
            </a:solidFill>
            <a:ln>
              <a:noFill/>
            </a:ln>
            <a:effectLst/>
          </c:spPr>
          <c:txPr>
            <a:bodyPr rot="0" spcFirstLastPara="1" vertOverflow="ellipsis" vert="horz" wrap="square" lIns="38100" tIns="19050" rIns="38100" bIns="19050" anchor="ctr" anchorCtr="1">
              <a:spAutoFit/>
            </a:bodyPr>
            <a:lstStyle/>
            <a:p>
              <a:pPr>
                <a:defRPr sz="14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separator>
</c:separator>
          <c:extLst>
            <c:ext xmlns:c15="http://schemas.microsoft.com/office/drawing/2012/chart" uri="{CE6537A1-D6FC-4f65-9D91-7224C49458BB}"/>
          </c:extLst>
        </c:dLbl>
      </c:pivotFmt>
      <c:pivotFmt>
        <c:idx val="53"/>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0"/>
          <c:showCatName val="0"/>
          <c:showSerName val="0"/>
          <c:showPercent val="1"/>
          <c:showBubbleSize val="0"/>
          <c:extLst>
            <c:ext xmlns:c15="http://schemas.microsoft.com/office/drawing/2012/chart" uri="{CE6537A1-D6FC-4f65-9D91-7224C49458BB}"/>
          </c:extLst>
        </c:dLbl>
      </c:pivotFmt>
      <c:pivotFmt>
        <c:idx val="54"/>
        <c:spPr>
          <a:solidFill>
            <a:schemeClr val="accent1"/>
          </a:solidFill>
          <a:ln>
            <a:noFill/>
          </a:ln>
          <a:effectLst>
            <a:outerShdw blurRad="63500" sx="102000" sy="102000" algn="ctr" rotWithShape="0">
              <a:prstClr val="black">
                <a:alpha val="20000"/>
              </a:prstClr>
            </a:outerShdw>
          </a:effectLst>
        </c:spPr>
      </c:pivotFmt>
      <c:pivotFmt>
        <c:idx val="55"/>
        <c:spPr>
          <a:solidFill>
            <a:schemeClr val="accent2"/>
          </a:solidFill>
          <a:ln>
            <a:noFill/>
          </a:ln>
          <a:effectLst>
            <a:outerShdw blurRad="63500" sx="102000" sy="102000" algn="ctr" rotWithShape="0">
              <a:prstClr val="black">
                <a:alpha val="20000"/>
              </a:prstClr>
            </a:outerShdw>
          </a:effectLst>
        </c:spPr>
      </c:pivotFmt>
      <c:pivotFmt>
        <c:idx val="56"/>
        <c:spPr>
          <a:solidFill>
            <a:schemeClr val="accent3"/>
          </a:solidFill>
          <a:ln>
            <a:noFill/>
          </a:ln>
          <a:effectLst>
            <a:outerShdw blurRad="63500" sx="102000" sy="102000" algn="ctr" rotWithShape="0">
              <a:prstClr val="black">
                <a:alpha val="20000"/>
              </a:prstClr>
            </a:outerShdw>
          </a:effectLst>
        </c:spPr>
      </c:pivotFmt>
      <c:pivotFmt>
        <c:idx val="57"/>
        <c:spPr>
          <a:solidFill>
            <a:schemeClr val="accent4"/>
          </a:solidFill>
          <a:ln>
            <a:noFill/>
          </a:ln>
          <a:effectLst>
            <a:outerShdw blurRad="63500" sx="102000" sy="102000" algn="ctr" rotWithShape="0">
              <a:prstClr val="black">
                <a:alpha val="20000"/>
              </a:prstClr>
            </a:outerShdw>
          </a:effectLst>
        </c:spPr>
      </c:pivotFmt>
      <c:pivotFmt>
        <c:idx val="58"/>
        <c:spPr>
          <a:solidFill>
            <a:schemeClr val="accent5"/>
          </a:solidFill>
          <a:ln>
            <a:noFill/>
          </a:ln>
          <a:effectLst>
            <a:outerShdw blurRad="63500" sx="102000" sy="102000" algn="ctr" rotWithShape="0">
              <a:prstClr val="black">
                <a:alpha val="20000"/>
              </a:prstClr>
            </a:outerShdw>
          </a:effectLst>
        </c:spPr>
      </c:pivotFmt>
      <c:pivotFmt>
        <c:idx val="59"/>
        <c:spPr>
          <a:ln w="15875" cmpd="tri">
            <a:solidFill>
              <a:schemeClr val="tx1"/>
            </a:solidFill>
          </a:ln>
          <a:effectLst>
            <a:outerShdw blurRad="50800" dist="63500" dir="2700000" algn="tl" rotWithShape="0">
              <a:prstClr val="black">
                <a:alpha val="40000"/>
              </a:prstClr>
            </a:outerShdw>
          </a:effectLst>
        </c:spPr>
        <c:marker>
          <c:symbol val="none"/>
        </c:marker>
        <c:dLbl>
          <c:idx val="0"/>
          <c:spPr>
            <a:solidFill>
              <a:sysClr val="window" lastClr="FFFFFF"/>
            </a:solidFill>
          </c:spPr>
          <c:txPr>
            <a:bodyPr rot="0" spcFirstLastPara="1" vertOverflow="ellipsis" vert="horz" wrap="square" lIns="38100" tIns="19050" rIns="38100" bIns="19050" anchor="ctr" anchorCtr="1">
              <a:spAutoFit/>
            </a:bodyPr>
            <a:lstStyle/>
            <a:p>
              <a:pPr>
                <a:defRPr sz="1400" b="1" i="0" u="none" strike="noStrike" kern="1200" spc="0" baseline="0">
                  <a:solidFill>
                    <a:schemeClr val="tx1"/>
                  </a:solidFill>
                  <a:latin typeface="+mn-lt"/>
                  <a:ea typeface="+mn-ea"/>
                  <a:cs typeface="+mn-cs"/>
                </a:defRPr>
              </a:pPr>
              <a:endParaRPr lang="en-US"/>
            </a:p>
          </c:txPr>
          <c:showLegendKey val="0"/>
          <c:showVal val="0"/>
          <c:showCatName val="0"/>
          <c:showSerName val="0"/>
          <c:showPercent val="1"/>
          <c:showBubbleSize val="0"/>
          <c:separator>
</c:separator>
          <c:extLst>
            <c:ext xmlns:c15="http://schemas.microsoft.com/office/drawing/2012/chart" uri="{CE6537A1-D6FC-4f65-9D91-7224C49458BB}"/>
          </c:extLst>
        </c:dLbl>
      </c:pivotFmt>
      <c:pivotFmt>
        <c:idx val="60"/>
        <c:spPr>
          <a:solidFill>
            <a:srgbClr val="99BD66"/>
          </a:solidFill>
          <a:ln w="15875" cmpd="tri">
            <a:solidFill>
              <a:schemeClr val="tx1"/>
            </a:solidFill>
          </a:ln>
          <a:effectLst>
            <a:outerShdw blurRad="50800" dist="63500" dir="2700000" algn="tl" rotWithShape="0">
              <a:prstClr val="black">
                <a:alpha val="40000"/>
              </a:prstClr>
            </a:outerShdw>
          </a:effectLst>
        </c:spPr>
        <c:dLbl>
          <c:idx val="0"/>
          <c:spPr>
            <a:solidFill>
              <a:sysClr val="window" lastClr="FFFFFF"/>
            </a:solidFill>
            <a:ln>
              <a:noFill/>
            </a:ln>
            <a:effectLst/>
          </c:spPr>
          <c:txPr>
            <a:bodyPr rot="0" spcFirstLastPara="1" vertOverflow="ellipsis" vert="horz" wrap="square" lIns="38100" tIns="19050" rIns="38100" bIns="19050" anchor="ctr" anchorCtr="1">
              <a:spAutoFit/>
            </a:bodyPr>
            <a:lstStyle/>
            <a:p>
              <a:pPr>
                <a:defRPr sz="14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separator>
</c:separator>
          <c:extLst>
            <c:ext xmlns:c15="http://schemas.microsoft.com/office/drawing/2012/chart" uri="{CE6537A1-D6FC-4f65-9D91-7224C49458BB}"/>
          </c:extLst>
        </c:dLbl>
      </c:pivotFmt>
      <c:pivotFmt>
        <c:idx val="61"/>
        <c:spPr>
          <a:solidFill>
            <a:srgbClr val="C1FFC1"/>
          </a:solidFill>
          <a:ln w="15875" cmpd="tri">
            <a:solidFill>
              <a:schemeClr val="tx1"/>
            </a:solidFill>
          </a:ln>
          <a:effectLst>
            <a:outerShdw blurRad="50800" dist="63500" dir="2700000" algn="tl" rotWithShape="0">
              <a:prstClr val="black">
                <a:alpha val="40000"/>
              </a:prstClr>
            </a:outerShdw>
          </a:effectLst>
        </c:spPr>
        <c:dLbl>
          <c:idx val="0"/>
          <c:spPr>
            <a:solidFill>
              <a:sysClr val="window" lastClr="FFFFFF"/>
            </a:solidFill>
            <a:ln>
              <a:noFill/>
            </a:ln>
            <a:effectLst/>
          </c:spPr>
          <c:txPr>
            <a:bodyPr rot="0" spcFirstLastPara="1" vertOverflow="ellipsis" vert="horz" wrap="square" lIns="38100" tIns="19050" rIns="38100" bIns="19050" anchor="ctr" anchorCtr="1">
              <a:spAutoFit/>
            </a:bodyPr>
            <a:lstStyle/>
            <a:p>
              <a:pPr>
                <a:defRPr sz="14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separator>
</c:separator>
          <c:extLst>
            <c:ext xmlns:c15="http://schemas.microsoft.com/office/drawing/2012/chart" uri="{CE6537A1-D6FC-4f65-9D91-7224C49458BB}"/>
          </c:extLst>
        </c:dLbl>
      </c:pivotFmt>
      <c:pivotFmt>
        <c:idx val="62"/>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0"/>
          <c:showCatName val="0"/>
          <c:showSerName val="0"/>
          <c:showPercent val="1"/>
          <c:showBubbleSize val="0"/>
          <c:extLst>
            <c:ext xmlns:c15="http://schemas.microsoft.com/office/drawing/2012/chart" uri="{CE6537A1-D6FC-4f65-9D91-7224C49458BB}"/>
          </c:extLst>
        </c:dLbl>
      </c:pivotFmt>
      <c:pivotFmt>
        <c:idx val="63"/>
        <c:spPr>
          <a:solidFill>
            <a:schemeClr val="accent1"/>
          </a:solidFill>
          <a:ln>
            <a:noFill/>
          </a:ln>
          <a:effectLst>
            <a:outerShdw blurRad="63500" sx="102000" sy="102000" algn="ctr" rotWithShape="0">
              <a:prstClr val="black">
                <a:alpha val="20000"/>
              </a:prstClr>
            </a:outerShdw>
          </a:effectLst>
        </c:spPr>
      </c:pivotFmt>
      <c:pivotFmt>
        <c:idx val="64"/>
        <c:spPr>
          <a:solidFill>
            <a:schemeClr val="accent2"/>
          </a:solidFill>
          <a:ln>
            <a:noFill/>
          </a:ln>
          <a:effectLst>
            <a:outerShdw blurRad="63500" sx="102000" sy="102000" algn="ctr" rotWithShape="0">
              <a:prstClr val="black">
                <a:alpha val="20000"/>
              </a:prstClr>
            </a:outerShdw>
          </a:effectLst>
        </c:spPr>
      </c:pivotFmt>
      <c:pivotFmt>
        <c:idx val="65"/>
        <c:spPr>
          <a:ln w="15875" cmpd="tri">
            <a:solidFill>
              <a:schemeClr val="tx1"/>
            </a:solidFill>
          </a:ln>
          <a:effectLst>
            <a:outerShdw blurRad="50800" dist="63500" dir="2700000" algn="tl" rotWithShape="0">
              <a:prstClr val="black">
                <a:alpha val="40000"/>
              </a:prstClr>
            </a:outerShdw>
          </a:effectLst>
        </c:spPr>
        <c:marker>
          <c:symbol val="none"/>
        </c:marker>
        <c:dLbl>
          <c:idx val="0"/>
          <c:spPr>
            <a:solidFill>
              <a:sysClr val="window" lastClr="FFFFFF"/>
            </a:solidFill>
          </c:spPr>
          <c:txPr>
            <a:bodyPr rot="0" spcFirstLastPara="1" vertOverflow="ellipsis" vert="horz" wrap="square" lIns="38100" tIns="19050" rIns="38100" bIns="19050" anchor="ctr" anchorCtr="1">
              <a:spAutoFit/>
            </a:bodyPr>
            <a:lstStyle/>
            <a:p>
              <a:pPr>
                <a:defRPr sz="1400" b="1" i="0" u="none" strike="noStrike" kern="1200" spc="0" baseline="0">
                  <a:solidFill>
                    <a:schemeClr val="tx1"/>
                  </a:solidFill>
                  <a:latin typeface="+mn-lt"/>
                  <a:ea typeface="+mn-ea"/>
                  <a:cs typeface="+mn-cs"/>
                </a:defRPr>
              </a:pPr>
              <a:endParaRPr lang="en-US"/>
            </a:p>
          </c:txPr>
          <c:showLegendKey val="0"/>
          <c:showVal val="0"/>
          <c:showCatName val="0"/>
          <c:showSerName val="0"/>
          <c:showPercent val="1"/>
          <c:showBubbleSize val="0"/>
          <c:separator>
</c:separator>
          <c:extLst>
            <c:ext xmlns:c15="http://schemas.microsoft.com/office/drawing/2012/chart" uri="{CE6537A1-D6FC-4f65-9D91-7224C49458BB}"/>
          </c:extLst>
        </c:dLbl>
      </c:pivotFmt>
      <c:pivotFmt>
        <c:idx val="66"/>
        <c:spPr>
          <a:solidFill>
            <a:srgbClr val="99BD66"/>
          </a:solidFill>
          <a:ln w="15875" cmpd="tri">
            <a:solidFill>
              <a:schemeClr val="tx1"/>
            </a:solidFill>
          </a:ln>
          <a:effectLst>
            <a:outerShdw blurRad="50800" dist="63500" dir="2700000" algn="tl" rotWithShape="0">
              <a:prstClr val="black">
                <a:alpha val="40000"/>
              </a:prstClr>
            </a:outerShdw>
          </a:effectLst>
        </c:spPr>
        <c:dLbl>
          <c:idx val="0"/>
          <c:spPr>
            <a:solidFill>
              <a:sysClr val="window" lastClr="FFFFFF"/>
            </a:solidFill>
            <a:ln>
              <a:noFill/>
            </a:ln>
            <a:effectLst/>
          </c:spPr>
          <c:txPr>
            <a:bodyPr rot="0" spcFirstLastPara="1" vertOverflow="ellipsis" vert="horz" wrap="square" lIns="38100" tIns="19050" rIns="38100" bIns="19050" anchor="ctr" anchorCtr="1">
              <a:spAutoFit/>
            </a:bodyPr>
            <a:lstStyle/>
            <a:p>
              <a:pPr>
                <a:defRPr sz="14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separator>
</c:separator>
          <c:extLst>
            <c:ext xmlns:c15="http://schemas.microsoft.com/office/drawing/2012/chart" uri="{CE6537A1-D6FC-4f65-9D91-7224C49458BB}"/>
          </c:extLst>
        </c:dLbl>
      </c:pivotFmt>
      <c:pivotFmt>
        <c:idx val="67"/>
        <c:spPr>
          <a:solidFill>
            <a:srgbClr val="FF7D67"/>
          </a:solidFill>
          <a:ln w="15875" cmpd="tri">
            <a:solidFill>
              <a:schemeClr val="tx1"/>
            </a:solidFill>
          </a:ln>
          <a:effectLst>
            <a:outerShdw blurRad="50800" dist="63500" dir="2700000" algn="tl" rotWithShape="0">
              <a:prstClr val="black">
                <a:alpha val="40000"/>
              </a:prstClr>
            </a:outerShdw>
          </a:effectLst>
        </c:spPr>
        <c:dLbl>
          <c:idx val="0"/>
          <c:spPr>
            <a:solidFill>
              <a:sysClr val="window" lastClr="FFFFFF"/>
            </a:solidFill>
            <a:ln>
              <a:noFill/>
            </a:ln>
            <a:effectLst/>
          </c:spPr>
          <c:txPr>
            <a:bodyPr rot="0" spcFirstLastPara="1" vertOverflow="ellipsis" vert="horz" wrap="square" lIns="38100" tIns="19050" rIns="38100" bIns="19050" anchor="ctr" anchorCtr="1">
              <a:spAutoFit/>
            </a:bodyPr>
            <a:lstStyle/>
            <a:p>
              <a:pPr>
                <a:defRPr sz="14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separator>
</c:separator>
          <c:extLst>
            <c:ext xmlns:c15="http://schemas.microsoft.com/office/drawing/2012/chart" uri="{CE6537A1-D6FC-4f65-9D91-7224C49458BB}"/>
          </c:extLst>
        </c:dLbl>
      </c:pivotFmt>
      <c:pivotFmt>
        <c:idx val="68"/>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0"/>
          <c:showCatName val="0"/>
          <c:showSerName val="0"/>
          <c:showPercent val="1"/>
          <c:showBubbleSize val="0"/>
          <c:extLst>
            <c:ext xmlns:c15="http://schemas.microsoft.com/office/drawing/2012/chart" uri="{CE6537A1-D6FC-4f65-9D91-7224C49458BB}"/>
          </c:extLst>
        </c:dLbl>
      </c:pivotFmt>
      <c:pivotFmt>
        <c:idx val="69"/>
        <c:spPr>
          <a:solidFill>
            <a:schemeClr val="accent1"/>
          </a:solidFill>
          <a:ln>
            <a:noFill/>
          </a:ln>
          <a:effectLst>
            <a:outerShdw blurRad="63500" sx="102000" sy="102000" algn="ctr" rotWithShape="0">
              <a:prstClr val="black">
                <a:alpha val="20000"/>
              </a:prstClr>
            </a:outerShdw>
          </a:effectLst>
        </c:spPr>
      </c:pivotFmt>
      <c:pivotFmt>
        <c:idx val="70"/>
        <c:spPr>
          <a:solidFill>
            <a:schemeClr val="accent2"/>
          </a:solidFill>
          <a:ln>
            <a:noFill/>
          </a:ln>
          <a:effectLst>
            <a:outerShdw blurRad="63500" sx="102000" sy="102000" algn="ctr" rotWithShape="0">
              <a:prstClr val="black">
                <a:alpha val="20000"/>
              </a:prstClr>
            </a:outerShdw>
          </a:effectLst>
        </c:spPr>
      </c:pivotFmt>
      <c:pivotFmt>
        <c:idx val="71"/>
        <c:spPr>
          <a:ln w="15875" cmpd="tri">
            <a:solidFill>
              <a:schemeClr val="tx1"/>
            </a:solidFill>
          </a:ln>
          <a:effectLst>
            <a:outerShdw blurRad="50800" dist="63500" dir="2700000" algn="tl" rotWithShape="0">
              <a:prstClr val="black">
                <a:alpha val="40000"/>
              </a:prstClr>
            </a:outerShdw>
          </a:effectLst>
        </c:spPr>
        <c:marker>
          <c:symbol val="none"/>
        </c:marker>
        <c:dLbl>
          <c:idx val="0"/>
          <c:spPr>
            <a:solidFill>
              <a:sysClr val="window" lastClr="FFFFFF"/>
            </a:solidFill>
          </c:spPr>
          <c:txPr>
            <a:bodyPr rot="0" spcFirstLastPara="1" vertOverflow="ellipsis" vert="horz" wrap="square" lIns="38100" tIns="19050" rIns="38100" bIns="19050" anchor="ctr" anchorCtr="1">
              <a:spAutoFit/>
            </a:bodyPr>
            <a:lstStyle/>
            <a:p>
              <a:pPr>
                <a:defRPr sz="1400" b="1" i="0" u="none" strike="noStrike" kern="1200" spc="0" baseline="0">
                  <a:solidFill>
                    <a:schemeClr val="tx1"/>
                  </a:solidFill>
                  <a:latin typeface="+mn-lt"/>
                  <a:ea typeface="+mn-ea"/>
                  <a:cs typeface="+mn-cs"/>
                </a:defRPr>
              </a:pPr>
              <a:endParaRPr lang="en-US"/>
            </a:p>
          </c:txPr>
          <c:showLegendKey val="0"/>
          <c:showVal val="0"/>
          <c:showCatName val="0"/>
          <c:showSerName val="0"/>
          <c:showPercent val="1"/>
          <c:showBubbleSize val="0"/>
          <c:separator>
</c:separator>
          <c:extLst>
            <c:ext xmlns:c15="http://schemas.microsoft.com/office/drawing/2012/chart" uri="{CE6537A1-D6FC-4f65-9D91-7224C49458BB}"/>
          </c:extLst>
        </c:dLbl>
      </c:pivotFmt>
      <c:pivotFmt>
        <c:idx val="72"/>
        <c:spPr>
          <a:solidFill>
            <a:srgbClr val="99BD66"/>
          </a:solidFill>
          <a:ln w="15875" cmpd="tri">
            <a:solidFill>
              <a:schemeClr val="tx1"/>
            </a:solidFill>
          </a:ln>
          <a:effectLst>
            <a:outerShdw blurRad="50800" dist="63500" dir="2700000" algn="tl" rotWithShape="0">
              <a:prstClr val="black">
                <a:alpha val="40000"/>
              </a:prstClr>
            </a:outerShdw>
          </a:effectLst>
        </c:spPr>
        <c:dLbl>
          <c:idx val="0"/>
          <c:spPr>
            <a:solidFill>
              <a:sysClr val="window" lastClr="FFFFFF"/>
            </a:solidFill>
            <a:ln>
              <a:noFill/>
            </a:ln>
            <a:effectLst/>
          </c:spPr>
          <c:txPr>
            <a:bodyPr rot="0" spcFirstLastPara="1" vertOverflow="ellipsis" vert="horz" wrap="square" lIns="38100" tIns="19050" rIns="38100" bIns="19050" anchor="ctr" anchorCtr="1">
              <a:spAutoFit/>
            </a:bodyPr>
            <a:lstStyle/>
            <a:p>
              <a:pPr>
                <a:defRPr sz="14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separator>
</c:separator>
          <c:extLst>
            <c:ext xmlns:c15="http://schemas.microsoft.com/office/drawing/2012/chart" uri="{CE6537A1-D6FC-4f65-9D91-7224C49458BB}"/>
          </c:extLst>
        </c:dLbl>
      </c:pivotFmt>
      <c:pivotFmt>
        <c:idx val="73"/>
        <c:spPr>
          <a:solidFill>
            <a:srgbClr val="FF7D67"/>
          </a:solidFill>
          <a:ln w="15875" cmpd="tri">
            <a:solidFill>
              <a:schemeClr val="tx1"/>
            </a:solidFill>
          </a:ln>
          <a:effectLst>
            <a:outerShdw blurRad="50800" dist="63500" dir="2700000" algn="tl" rotWithShape="0">
              <a:prstClr val="black">
                <a:alpha val="40000"/>
              </a:prstClr>
            </a:outerShdw>
          </a:effectLst>
        </c:spPr>
        <c:dLbl>
          <c:idx val="0"/>
          <c:spPr>
            <a:solidFill>
              <a:sysClr val="window" lastClr="FFFFFF"/>
            </a:solidFill>
            <a:ln>
              <a:noFill/>
            </a:ln>
            <a:effectLst/>
          </c:spPr>
          <c:txPr>
            <a:bodyPr rot="0" spcFirstLastPara="1" vertOverflow="ellipsis" vert="horz" wrap="square" lIns="38100" tIns="19050" rIns="38100" bIns="19050" anchor="ctr" anchorCtr="1">
              <a:spAutoFit/>
            </a:bodyPr>
            <a:lstStyle/>
            <a:p>
              <a:pPr>
                <a:defRPr sz="14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separator>
</c:separator>
          <c:extLst>
            <c:ext xmlns:c15="http://schemas.microsoft.com/office/drawing/2012/chart" uri="{CE6537A1-D6FC-4f65-9D91-7224C49458BB}"/>
          </c:extLst>
        </c:dLbl>
      </c:pivotFmt>
      <c:pivotFmt>
        <c:idx val="74"/>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0"/>
          <c:showCatName val="0"/>
          <c:showSerName val="0"/>
          <c:showPercent val="1"/>
          <c:showBubbleSize val="0"/>
          <c:extLst>
            <c:ext xmlns:c15="http://schemas.microsoft.com/office/drawing/2012/chart" uri="{CE6537A1-D6FC-4f65-9D91-7224C49458BB}"/>
          </c:extLst>
        </c:dLbl>
      </c:pivotFmt>
      <c:pivotFmt>
        <c:idx val="75"/>
        <c:spPr>
          <a:solidFill>
            <a:schemeClr val="accent1"/>
          </a:solidFill>
          <a:ln>
            <a:noFill/>
          </a:ln>
          <a:effectLst>
            <a:outerShdw blurRad="63500" sx="102000" sy="102000" algn="ctr" rotWithShape="0">
              <a:prstClr val="black">
                <a:alpha val="20000"/>
              </a:prstClr>
            </a:outerShdw>
          </a:effectLst>
        </c:spPr>
      </c:pivotFmt>
      <c:pivotFmt>
        <c:idx val="76"/>
        <c:spPr>
          <a:solidFill>
            <a:schemeClr val="accent2"/>
          </a:solidFill>
          <a:ln>
            <a:noFill/>
          </a:ln>
          <a:effectLst>
            <a:outerShdw blurRad="63500" sx="102000" sy="102000" algn="ctr" rotWithShape="0">
              <a:prstClr val="black">
                <a:alpha val="20000"/>
              </a:prstClr>
            </a:outerShdw>
          </a:effectLst>
        </c:spPr>
      </c:pivotFmt>
      <c:pivotFmt>
        <c:idx val="77"/>
        <c:spPr>
          <a:ln w="15875" cmpd="tri">
            <a:solidFill>
              <a:schemeClr val="tx1"/>
            </a:solidFill>
          </a:ln>
          <a:effectLst>
            <a:outerShdw blurRad="50800" dist="63500" dir="2700000" algn="tl" rotWithShape="0">
              <a:prstClr val="black">
                <a:alpha val="40000"/>
              </a:prstClr>
            </a:outerShdw>
          </a:effectLst>
        </c:spPr>
        <c:marker>
          <c:symbol val="none"/>
        </c:marker>
        <c:dLbl>
          <c:idx val="0"/>
          <c:spPr>
            <a:solidFill>
              <a:sysClr val="window" lastClr="FFFFFF"/>
            </a:solidFill>
          </c:spPr>
          <c:txPr>
            <a:bodyPr rot="0" spcFirstLastPara="1" vertOverflow="ellipsis" vert="horz" wrap="square" lIns="38100" tIns="19050" rIns="38100" bIns="19050" anchor="ctr" anchorCtr="1">
              <a:spAutoFit/>
            </a:bodyPr>
            <a:lstStyle/>
            <a:p>
              <a:pPr>
                <a:defRPr sz="1400" b="1" i="0" u="none" strike="noStrike" kern="1200" spc="0" baseline="0">
                  <a:solidFill>
                    <a:schemeClr val="tx1"/>
                  </a:solidFill>
                  <a:latin typeface="+mn-lt"/>
                  <a:ea typeface="+mn-ea"/>
                  <a:cs typeface="+mn-cs"/>
                </a:defRPr>
              </a:pPr>
              <a:endParaRPr lang="en-US"/>
            </a:p>
          </c:txPr>
          <c:showLegendKey val="0"/>
          <c:showVal val="0"/>
          <c:showCatName val="0"/>
          <c:showSerName val="0"/>
          <c:showPercent val="1"/>
          <c:showBubbleSize val="0"/>
          <c:separator>
</c:separator>
          <c:extLst>
            <c:ext xmlns:c15="http://schemas.microsoft.com/office/drawing/2012/chart" uri="{CE6537A1-D6FC-4f65-9D91-7224C49458BB}"/>
          </c:extLst>
        </c:dLbl>
      </c:pivotFmt>
      <c:pivotFmt>
        <c:idx val="78"/>
        <c:spPr>
          <a:solidFill>
            <a:srgbClr val="99BD66"/>
          </a:solidFill>
          <a:ln w="15875" cmpd="tri">
            <a:solidFill>
              <a:schemeClr val="tx1"/>
            </a:solidFill>
          </a:ln>
          <a:effectLst>
            <a:outerShdw blurRad="50800" dist="63500" dir="2700000" algn="tl" rotWithShape="0">
              <a:prstClr val="black">
                <a:alpha val="40000"/>
              </a:prstClr>
            </a:outerShdw>
          </a:effectLst>
        </c:spPr>
        <c:dLbl>
          <c:idx val="0"/>
          <c:spPr>
            <a:solidFill>
              <a:sysClr val="window" lastClr="FFFFFF"/>
            </a:solidFill>
            <a:ln>
              <a:noFill/>
            </a:ln>
            <a:effectLst/>
          </c:spPr>
          <c:txPr>
            <a:bodyPr rot="0" spcFirstLastPara="1" vertOverflow="ellipsis" vert="horz" wrap="square" lIns="38100" tIns="19050" rIns="38100" bIns="19050" anchor="ctr" anchorCtr="1">
              <a:spAutoFit/>
            </a:bodyPr>
            <a:lstStyle/>
            <a:p>
              <a:pPr>
                <a:defRPr sz="14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separator>
</c:separator>
          <c:extLst>
            <c:ext xmlns:c15="http://schemas.microsoft.com/office/drawing/2012/chart" uri="{CE6537A1-D6FC-4f65-9D91-7224C49458BB}"/>
          </c:extLst>
        </c:dLbl>
      </c:pivotFmt>
      <c:pivotFmt>
        <c:idx val="79"/>
        <c:spPr>
          <a:solidFill>
            <a:srgbClr val="FF7D67"/>
          </a:solidFill>
          <a:ln w="15875" cmpd="tri">
            <a:solidFill>
              <a:schemeClr val="tx1"/>
            </a:solidFill>
          </a:ln>
          <a:effectLst>
            <a:outerShdw blurRad="50800" dist="63500" dir="2700000" algn="tl" rotWithShape="0">
              <a:prstClr val="black">
                <a:alpha val="40000"/>
              </a:prstClr>
            </a:outerShdw>
          </a:effectLst>
        </c:spPr>
        <c:dLbl>
          <c:idx val="0"/>
          <c:spPr>
            <a:solidFill>
              <a:sysClr val="window" lastClr="FFFFFF"/>
            </a:solidFill>
            <a:ln>
              <a:noFill/>
            </a:ln>
            <a:effectLst/>
          </c:spPr>
          <c:txPr>
            <a:bodyPr rot="0" spcFirstLastPara="1" vertOverflow="ellipsis" vert="horz" wrap="square" lIns="38100" tIns="19050" rIns="38100" bIns="19050" anchor="ctr" anchorCtr="1">
              <a:spAutoFit/>
            </a:bodyPr>
            <a:lstStyle/>
            <a:p>
              <a:pPr>
                <a:defRPr sz="14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separator>
</c:separator>
          <c:extLst>
            <c:ext xmlns:c15="http://schemas.microsoft.com/office/drawing/2012/chart" uri="{CE6537A1-D6FC-4f65-9D91-7224C49458BB}"/>
          </c:extLst>
        </c:dLbl>
      </c:pivotFmt>
      <c:pivotFmt>
        <c:idx val="80"/>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0"/>
          <c:showCatName val="0"/>
          <c:showSerName val="0"/>
          <c:showPercent val="1"/>
          <c:showBubbleSize val="0"/>
          <c:extLst>
            <c:ext xmlns:c15="http://schemas.microsoft.com/office/drawing/2012/chart" uri="{CE6537A1-D6FC-4f65-9D91-7224C49458BB}"/>
          </c:extLst>
        </c:dLbl>
      </c:pivotFmt>
      <c:pivotFmt>
        <c:idx val="81"/>
        <c:spPr>
          <a:solidFill>
            <a:schemeClr val="accent1"/>
          </a:solidFill>
          <a:ln>
            <a:noFill/>
          </a:ln>
          <a:effectLst>
            <a:outerShdw blurRad="63500" sx="102000" sy="102000" algn="ctr" rotWithShape="0">
              <a:prstClr val="black">
                <a:alpha val="20000"/>
              </a:prstClr>
            </a:outerShdw>
          </a:effectLst>
        </c:spPr>
      </c:pivotFmt>
      <c:pivotFmt>
        <c:idx val="82"/>
        <c:spPr>
          <a:solidFill>
            <a:schemeClr val="accent2"/>
          </a:solidFill>
          <a:ln>
            <a:noFill/>
          </a:ln>
          <a:effectLst>
            <a:outerShdw blurRad="63500" sx="102000" sy="102000" algn="ctr" rotWithShape="0">
              <a:prstClr val="black">
                <a:alpha val="20000"/>
              </a:prstClr>
            </a:outerShdw>
          </a:effectLst>
        </c:spPr>
      </c:pivotFmt>
    </c:pivotFmts>
    <c:plotArea>
      <c:layout/>
      <c:pieChart>
        <c:varyColors val="1"/>
        <c:ser>
          <c:idx val="0"/>
          <c:order val="0"/>
          <c:tx>
            <c:strRef>
              <c:f>'Statistics October'!$C$21</c:f>
              <c:strCache>
                <c:ptCount val="1"/>
                <c:pt idx="0">
                  <c:v># Authorities</c:v>
                </c:pt>
              </c:strCache>
            </c:strRef>
          </c:tx>
          <c:spPr>
            <a:ln w="15875" cmpd="tri">
              <a:solidFill>
                <a:schemeClr val="tx1"/>
              </a:solidFill>
            </a:ln>
            <a:effectLst>
              <a:outerShdw blurRad="50800" dist="63500" dir="2700000" algn="tl" rotWithShape="0">
                <a:prstClr val="black">
                  <a:alpha val="40000"/>
                </a:prstClr>
              </a:outerShdw>
            </a:effectLst>
          </c:spPr>
          <c:explosion val="3"/>
          <c:dPt>
            <c:idx val="0"/>
            <c:bubble3D val="0"/>
            <c:spPr>
              <a:solidFill>
                <a:srgbClr val="99BD66"/>
              </a:solidFill>
              <a:ln w="15875" cmpd="tri">
                <a:solidFill>
                  <a:schemeClr val="tx1"/>
                </a:solidFill>
              </a:ln>
              <a:effectLst>
                <a:outerShdw blurRad="50800" dist="63500" dir="2700000" algn="tl" rotWithShape="0">
                  <a:prstClr val="black">
                    <a:alpha val="40000"/>
                  </a:prstClr>
                </a:outerShdw>
              </a:effectLst>
            </c:spPr>
            <c:extLst>
              <c:ext xmlns:c16="http://schemas.microsoft.com/office/drawing/2014/chart" uri="{C3380CC4-5D6E-409C-BE32-E72D297353CC}">
                <c16:uniqueId val="{00000001-6C06-4875-B458-247A30F5CC83}"/>
              </c:ext>
            </c:extLst>
          </c:dPt>
          <c:dPt>
            <c:idx val="1"/>
            <c:bubble3D val="0"/>
            <c:spPr>
              <a:solidFill>
                <a:srgbClr val="FF7D67"/>
              </a:solidFill>
              <a:ln w="15875" cmpd="tri">
                <a:solidFill>
                  <a:schemeClr val="tx1"/>
                </a:solidFill>
              </a:ln>
              <a:effectLst>
                <a:outerShdw blurRad="50800" dist="63500" dir="2700000" algn="tl" rotWithShape="0">
                  <a:prstClr val="black">
                    <a:alpha val="40000"/>
                  </a:prstClr>
                </a:outerShdw>
              </a:effectLst>
            </c:spPr>
            <c:extLst>
              <c:ext xmlns:c16="http://schemas.microsoft.com/office/drawing/2014/chart" uri="{C3380CC4-5D6E-409C-BE32-E72D297353CC}">
                <c16:uniqueId val="{00000003-6C06-4875-B458-247A30F5CC83}"/>
              </c:ext>
            </c:extLst>
          </c:dPt>
          <c:dPt>
            <c:idx val="2"/>
            <c:bubble3D val="0"/>
            <c:extLst>
              <c:ext xmlns:c16="http://schemas.microsoft.com/office/drawing/2014/chart" uri="{C3380CC4-5D6E-409C-BE32-E72D297353CC}">
                <c16:uniqueId val="{00000004-6C06-4875-B458-247A30F5CC83}"/>
              </c:ext>
            </c:extLst>
          </c:dPt>
          <c:dPt>
            <c:idx val="3"/>
            <c:bubble3D val="0"/>
            <c:extLst>
              <c:ext xmlns:c16="http://schemas.microsoft.com/office/drawing/2014/chart" uri="{C3380CC4-5D6E-409C-BE32-E72D297353CC}">
                <c16:uniqueId val="{00000005-6C06-4875-B458-247A30F5CC83}"/>
              </c:ext>
            </c:extLst>
          </c:dPt>
          <c:dPt>
            <c:idx val="4"/>
            <c:bubble3D val="0"/>
            <c:extLst>
              <c:ext xmlns:c16="http://schemas.microsoft.com/office/drawing/2014/chart" uri="{C3380CC4-5D6E-409C-BE32-E72D297353CC}">
                <c16:uniqueId val="{00000006-6C06-4875-B458-247A30F5CC83}"/>
              </c:ext>
            </c:extLst>
          </c:dPt>
          <c:dLbls>
            <c:dLbl>
              <c:idx val="0"/>
              <c:spPr>
                <a:solidFill>
                  <a:sysClr val="window" lastClr="FFFFFF"/>
                </a:solidFill>
                <a:ln>
                  <a:noFill/>
                </a:ln>
                <a:effectLst/>
              </c:spPr>
              <c:txPr>
                <a:bodyPr rot="0" spcFirstLastPara="1" vertOverflow="ellipsis" vert="horz" wrap="square" lIns="38100" tIns="19050" rIns="38100" bIns="19050" anchor="ctr" anchorCtr="1">
                  <a:spAutoFit/>
                </a:bodyPr>
                <a:lstStyle/>
                <a:p>
                  <a:pPr>
                    <a:defRPr sz="14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1-6C06-4875-B458-247A30F5CC83}"/>
                </c:ext>
              </c:extLst>
            </c:dLbl>
            <c:dLbl>
              <c:idx val="1"/>
              <c:spPr>
                <a:solidFill>
                  <a:sysClr val="window" lastClr="FFFFFF"/>
                </a:solidFill>
                <a:ln>
                  <a:noFill/>
                </a:ln>
                <a:effectLst/>
              </c:spPr>
              <c:txPr>
                <a:bodyPr rot="0" spcFirstLastPara="1" vertOverflow="ellipsis" vert="horz" wrap="square" lIns="38100" tIns="19050" rIns="38100" bIns="19050" anchor="ctr" anchorCtr="1">
                  <a:spAutoFit/>
                </a:bodyPr>
                <a:lstStyle/>
                <a:p>
                  <a:pPr>
                    <a:defRPr sz="14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3-6C06-4875-B458-247A30F5CC83}"/>
                </c:ext>
              </c:extLst>
            </c:dLbl>
            <c:spPr>
              <a:solidFill>
                <a:sysClr val="window" lastClr="FFFFFF"/>
              </a:solidFill>
            </c:spPr>
            <c:txPr>
              <a:bodyPr rot="0" spcFirstLastPara="1" vertOverflow="ellipsis" vert="horz" wrap="square" lIns="38100" tIns="19050" rIns="38100" bIns="19050" anchor="ctr" anchorCtr="1">
                <a:spAutoFit/>
              </a:bodyPr>
              <a:lstStyle/>
              <a:p>
                <a:pPr>
                  <a:defRPr sz="1400" b="1" i="0" u="none" strike="noStrike" kern="1200" spc="0" baseline="0">
                    <a:solidFill>
                      <a:schemeClr val="tx1"/>
                    </a:solidFill>
                    <a:latin typeface="+mn-lt"/>
                    <a:ea typeface="+mn-ea"/>
                    <a:cs typeface="+mn-cs"/>
                  </a:defRPr>
                </a:pPr>
                <a:endParaRPr lang="en-US"/>
              </a:p>
            </c:txPr>
            <c:showLegendKey val="0"/>
            <c:showVal val="0"/>
            <c:showCatName val="0"/>
            <c:showSerName val="0"/>
            <c:showPercent val="1"/>
            <c:showBubbleSize val="0"/>
            <c:separator>
</c:separator>
            <c:showLeaderLines val="1"/>
            <c:extLst>
              <c:ext xmlns:c15="http://schemas.microsoft.com/office/drawing/2012/chart" uri="{CE6537A1-D6FC-4f65-9D91-7224C49458BB}"/>
            </c:extLst>
          </c:dLbls>
          <c:cat>
            <c:strRef>
              <c:f>'Statistics October'!$B$22:$B$24</c:f>
              <c:strCache>
                <c:ptCount val="2"/>
                <c:pt idx="0">
                  <c:v>Yes</c:v>
                </c:pt>
                <c:pt idx="1">
                  <c:v>No</c:v>
                </c:pt>
              </c:strCache>
            </c:strRef>
          </c:cat>
          <c:val>
            <c:numRef>
              <c:f>'Statistics October'!$C$22:$C$24</c:f>
              <c:numCache>
                <c:formatCode>General</c:formatCode>
                <c:ptCount val="2"/>
                <c:pt idx="0">
                  <c:v>173</c:v>
                </c:pt>
                <c:pt idx="1">
                  <c:v>168</c:v>
                </c:pt>
              </c:numCache>
            </c:numRef>
          </c:val>
          <c:extLst>
            <c:ext xmlns:c16="http://schemas.microsoft.com/office/drawing/2014/chart" uri="{C3380CC4-5D6E-409C-BE32-E72D297353CC}">
              <c16:uniqueId val="{00000007-6C06-4875-B458-247A30F5CC83}"/>
            </c:ext>
          </c:extLst>
        </c:ser>
        <c:ser>
          <c:idx val="1"/>
          <c:order val="1"/>
          <c:tx>
            <c:strRef>
              <c:f>'Statistics October'!$D$21</c:f>
              <c:strCache>
                <c:ptCount val="1"/>
                <c:pt idx="0">
                  <c:v>% Authorities</c:v>
                </c:pt>
              </c:strCache>
            </c:strRef>
          </c:tx>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6C06-4875-B458-247A30F5CC83}"/>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B-6C06-4875-B458-247A30F5CC83}"/>
              </c:ext>
            </c:extLst>
          </c:dPt>
          <c:dPt>
            <c:idx val="2"/>
            <c:bubble3D val="0"/>
            <c:extLst>
              <c:ext xmlns:c16="http://schemas.microsoft.com/office/drawing/2014/chart" uri="{C3380CC4-5D6E-409C-BE32-E72D297353CC}">
                <c16:uniqueId val="{0000000C-6C06-4875-B458-247A30F5CC83}"/>
              </c:ext>
            </c:extLst>
          </c:dPt>
          <c:dPt>
            <c:idx val="3"/>
            <c:bubble3D val="0"/>
            <c:extLst>
              <c:ext xmlns:c16="http://schemas.microsoft.com/office/drawing/2014/chart" uri="{C3380CC4-5D6E-409C-BE32-E72D297353CC}">
                <c16:uniqueId val="{0000000D-6C06-4875-B458-247A30F5CC83}"/>
              </c:ext>
            </c:extLst>
          </c:dPt>
          <c:dPt>
            <c:idx val="4"/>
            <c:bubble3D val="0"/>
            <c:extLst>
              <c:ext xmlns:c16="http://schemas.microsoft.com/office/drawing/2014/chart" uri="{C3380CC4-5D6E-409C-BE32-E72D297353CC}">
                <c16:uniqueId val="{0000000E-6C06-4875-B458-247A30F5CC83}"/>
              </c:ext>
            </c:extLst>
          </c:dPt>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'Statistics October'!$B$22:$B$24</c:f>
              <c:strCache>
                <c:ptCount val="2"/>
                <c:pt idx="0">
                  <c:v>Yes</c:v>
                </c:pt>
                <c:pt idx="1">
                  <c:v>No</c:v>
                </c:pt>
              </c:strCache>
            </c:strRef>
          </c:cat>
          <c:val>
            <c:numRef>
              <c:f>'Statistics October'!$D$22:$D$24</c:f>
              <c:numCache>
                <c:formatCode>0%</c:formatCode>
                <c:ptCount val="2"/>
                <c:pt idx="0">
                  <c:v>0.50733137829912023</c:v>
                </c:pt>
                <c:pt idx="1">
                  <c:v>0.49266862170087977</c:v>
                </c:pt>
              </c:numCache>
            </c:numRef>
          </c:val>
          <c:extLst>
            <c:ext xmlns:c16="http://schemas.microsoft.com/office/drawing/2014/chart" uri="{C3380CC4-5D6E-409C-BE32-E72D297353CC}">
              <c16:uniqueId val="{0000000F-6C06-4875-B458-247A30F5CC83}"/>
            </c:ext>
          </c:extLst>
        </c:ser>
        <c:dLbls>
          <c:dLblPos val="outEnd"/>
          <c:showLegendKey val="0"/>
          <c:showVal val="0"/>
          <c:showCatName val="0"/>
          <c:showSerName val="0"/>
          <c:showPercent val="1"/>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a:outerShdw blurRad="50800" dist="127000" dir="2700000" algn="tl" rotWithShape="0">
        <a:prstClr val="black">
          <a:alpha val="40000"/>
        </a:prstClr>
      </a:outerShdw>
    </a:effectLst>
    <a:scene3d>
      <a:camera prst="orthographicFront"/>
      <a:lightRig rig="threePt" dir="t"/>
    </a:scene3d>
    <a:sp3d>
      <a:bevelT/>
    </a:sp3d>
  </c:spPr>
  <c:txPr>
    <a:bodyPr/>
    <a:lstStyle/>
    <a:p>
      <a:pPr>
        <a:defRPr/>
      </a:pPr>
      <a:endParaRPr lang="en-US"/>
    </a:p>
  </c:txPr>
  <c:externalData r:id="rId2">
    <c:autoUpdate val="0"/>
  </c:externalData>
  <c:extLst>
    <c:ext xmlns:c14="http://schemas.microsoft.com/office/drawing/2007/8/2/chart" uri="{781A3756-C4B2-4CAC-9D66-4F8BD8637D16}">
      <c14:pivotOptions>
        <c14:dropZoneFilter val="1"/>
        <c14:dropZoneData val="1"/>
        <c14:dropZoneSeries val="1"/>
      </c14:pivotOptions>
    </c:ext>
    <c:ext xmlns:c16="http://schemas.microsoft.com/office/drawing/2014/chart" uri="{E28EC0CA-F0BB-4C9C-879D-F8772B89E7AC}">
      <c16:pivotOptions16>
        <c16:showExpandCollapseFieldButtons val="1"/>
      </c16:pivotOptions16>
    </c:ext>
  </c:extLst>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0"/>
          <a:lstStyle/>
          <a:p>
            <a:pPr>
              <a:defRPr sz="1400" b="0" i="0" u="none" strike="noStrike" kern="1200" spc="0" baseline="0">
                <a:solidFill>
                  <a:schemeClr val="tx1">
                    <a:lumMod val="65000"/>
                    <a:lumOff val="35000"/>
                  </a:schemeClr>
                </a:solidFill>
                <a:latin typeface="+mn-lt"/>
                <a:ea typeface="+mn-ea"/>
                <a:cs typeface="+mn-cs"/>
              </a:defRPr>
            </a:pPr>
            <a:r>
              <a:rPr lang="en-US" sz="1200" b="1" i="0" baseline="0">
                <a:effectLst/>
              </a:rPr>
              <a:t>GB Taxi Licensing authorities: </a:t>
            </a:r>
            <a:endParaRPr lang="en-GB" sz="1200">
              <a:effectLst/>
            </a:endParaRPr>
          </a:p>
          <a:p>
            <a:pPr>
              <a:defRPr/>
            </a:pPr>
            <a:r>
              <a:rPr lang="en-US" sz="1200" b="1" i="0" baseline="0">
                <a:effectLst/>
              </a:rPr>
              <a:t>Change in S167 Intent</a:t>
            </a:r>
            <a:endParaRPr lang="en-GB" sz="1200">
              <a:effectLst/>
            </a:endParaRPr>
          </a:p>
        </c:rich>
      </c:tx>
      <c:layout>
        <c:manualLayout>
          <c:xMode val="edge"/>
          <c:yMode val="edge"/>
          <c:x val="0.15069593936540679"/>
          <c:y val="0"/>
        </c:manualLayout>
      </c:layout>
      <c:overlay val="0"/>
      <c:spPr>
        <a:solidFill>
          <a:schemeClr val="bg1"/>
        </a:solidFill>
        <a:ln>
          <a:solidFill>
            <a:srgbClr val="000000"/>
          </a:solidFill>
        </a:ln>
        <a:effectLst/>
      </c:spPr>
      <c:txPr>
        <a:bodyPr rot="0" spcFirstLastPara="1" vertOverflow="ellipsis" vert="horz" wrap="square" anchor="ctr" anchorCtr="0"/>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ivotFmts>
      <c:pivotFmt>
        <c:idx val="0"/>
        <c:spPr>
          <a:solidFill>
            <a:schemeClr val="accent1"/>
          </a:solidFill>
          <a:ln>
            <a:noFill/>
          </a:ln>
          <a:effectLst/>
        </c:spPr>
        <c:marker>
          <c:symbol val="none"/>
        </c:marker>
      </c:pivotFmt>
      <c:pivotFmt>
        <c:idx val="1"/>
        <c:spPr>
          <a:solidFill>
            <a:schemeClr val="accent1"/>
          </a:solidFill>
          <a:ln>
            <a:noFill/>
          </a:ln>
          <a:effectLst/>
        </c:spPr>
        <c:marker>
          <c:symbol val="none"/>
        </c:marker>
      </c:pivotFmt>
      <c:pivotFmt>
        <c:idx val="2"/>
        <c:spPr>
          <a:solidFill>
            <a:schemeClr val="accent1"/>
          </a:solidFill>
          <a:ln>
            <a:noFill/>
          </a:ln>
          <a:effectLst/>
        </c:spPr>
        <c:marker>
          <c:symbol val="none"/>
        </c:marker>
      </c:pivotFmt>
      <c:pivotFmt>
        <c:idx val="3"/>
        <c:spPr>
          <a:solidFill>
            <a:schemeClr val="accent1"/>
          </a:solidFill>
          <a:ln>
            <a:noFill/>
          </a:ln>
          <a:effectLst/>
        </c:spPr>
        <c:marker>
          <c:symbol val="none"/>
        </c:marker>
      </c:pivotFmt>
      <c:pivotFmt>
        <c:idx val="4"/>
        <c:spPr>
          <a:solidFill>
            <a:schemeClr val="accent1"/>
          </a:solidFill>
          <a:ln>
            <a:noFill/>
          </a:ln>
          <a:effectLst/>
        </c:spPr>
        <c:marker>
          <c:symbol val="none"/>
        </c:marker>
      </c:pivotFmt>
      <c:pivotFmt>
        <c:idx val="5"/>
        <c:spPr>
          <a:solidFill>
            <a:srgbClr val="7DB17A"/>
          </a:solidFill>
          <a:ln>
            <a:noFill/>
          </a:ln>
          <a:effectLst>
            <a:softEdge rad="50800"/>
          </a:effectLst>
          <a:scene3d>
            <a:camera prst="orthographicFront"/>
            <a:lightRig rig="threePt" dir="t"/>
          </a:scene3d>
          <a:sp3d>
            <a:bevelT/>
          </a:sp3d>
        </c:spPr>
        <c:marker>
          <c:symbol val="none"/>
        </c:marker>
        <c:dLbl>
          <c:idx val="0"/>
          <c:spPr>
            <a:noFill/>
            <a:ln>
              <a:noFill/>
            </a:ln>
            <a:effectLst/>
          </c:spPr>
          <c:txPr>
            <a:bodyPr rot="0" spcFirstLastPara="1" vertOverflow="overflow" horzOverflow="overflow" vert="horz" wrap="square" lIns="38100" tIns="19050" rIns="38100" bIns="19050" anchor="t" anchorCtr="1">
              <a:spAutoFit/>
            </a:bodyPr>
            <a:lstStyle/>
            <a:p>
              <a:pPr>
                <a:defRPr sz="1400" b="1" i="0" u="none" strike="noStrike" kern="1200" baseline="0">
                  <a:ln>
                    <a:noFill/>
                  </a:ln>
                  <a:solidFill>
                    <a:schemeClr val="tx1">
                      <a:lumMod val="75000"/>
                      <a:lumOff val="25000"/>
                    </a:schemeClr>
                  </a:solidFill>
                  <a:latin typeface="+mn-lt"/>
                  <a:ea typeface="+mn-ea"/>
                  <a:cs typeface="+mn-cs"/>
                </a:defRPr>
              </a:pPr>
              <a:endParaRPr lang="en-US"/>
            </a:p>
          </c:txPr>
          <c:dLblPos val="inEnd"/>
          <c:showLegendKey val="0"/>
          <c:showVal val="0"/>
          <c:showCatName val="0"/>
          <c:showSerName val="1"/>
          <c:showPercent val="0"/>
          <c:showBubbleSize val="0"/>
          <c:extLst>
            <c:ext xmlns:c15="http://schemas.microsoft.com/office/drawing/2012/chart" uri="{CE6537A1-D6FC-4f65-9D91-7224C49458BB}"/>
          </c:extLst>
        </c:dLbl>
      </c:pivotFmt>
      <c:pivotFmt>
        <c:idx val="6"/>
        <c:spPr>
          <a:solidFill>
            <a:srgbClr val="C1FFC1"/>
          </a:solidFill>
          <a:ln>
            <a:noFill/>
          </a:ln>
          <a:effectLst/>
          <a:scene3d>
            <a:camera prst="orthographicFront"/>
            <a:lightRig rig="threePt" dir="t"/>
          </a:scene3d>
          <a:sp3d>
            <a:bevel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mn-lt"/>
                  <a:ea typeface="+mn-ea"/>
                  <a:cs typeface="+mn-cs"/>
                </a:defRPr>
              </a:pPr>
              <a:endParaRPr lang="en-US"/>
            </a:p>
          </c:txPr>
          <c:dLblPos val="inEnd"/>
          <c:showLegendKey val="0"/>
          <c:showVal val="0"/>
          <c:showCatName val="0"/>
          <c:showSerName val="1"/>
          <c:showPercent val="0"/>
          <c:showBubbleSize val="0"/>
          <c:extLst>
            <c:ext xmlns:c15="http://schemas.microsoft.com/office/drawing/2012/chart" uri="{CE6537A1-D6FC-4f65-9D91-7224C49458BB}"/>
          </c:extLst>
        </c:dLbl>
      </c:pivotFmt>
      <c:pivotFmt>
        <c:idx val="7"/>
        <c:spPr>
          <a:solidFill>
            <a:srgbClr val="FFFF66"/>
          </a:solidFill>
          <a:ln>
            <a:noFill/>
          </a:ln>
          <a:effectLst/>
          <a:scene3d>
            <a:camera prst="orthographicFront"/>
            <a:lightRig rig="threePt" dir="t"/>
          </a:scene3d>
          <a:sp3d>
            <a:bevel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mn-lt"/>
                  <a:ea typeface="+mn-ea"/>
                  <a:cs typeface="+mn-cs"/>
                </a:defRPr>
              </a:pPr>
              <a:endParaRPr lang="en-US"/>
            </a:p>
          </c:txPr>
          <c:dLblPos val="inEnd"/>
          <c:showLegendKey val="0"/>
          <c:showVal val="0"/>
          <c:showCatName val="0"/>
          <c:showSerName val="1"/>
          <c:showPercent val="0"/>
          <c:showBubbleSize val="0"/>
          <c:extLst>
            <c:ext xmlns:c15="http://schemas.microsoft.com/office/drawing/2012/chart" uri="{CE6537A1-D6FC-4f65-9D91-7224C49458BB}"/>
          </c:extLst>
        </c:dLbl>
      </c:pivotFmt>
      <c:pivotFmt>
        <c:idx val="8"/>
        <c:spPr>
          <a:solidFill>
            <a:srgbClr val="FFC267"/>
          </a:solidFill>
          <a:ln>
            <a:noFill/>
          </a:ln>
          <a:effectLst/>
          <a:scene3d>
            <a:camera prst="orthographicFront"/>
            <a:lightRig rig="threePt" dir="t"/>
          </a:scene3d>
          <a:sp3d>
            <a:bevel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mn-lt"/>
                  <a:ea typeface="+mn-ea"/>
                  <a:cs typeface="+mn-cs"/>
                </a:defRPr>
              </a:pPr>
              <a:endParaRPr lang="en-US"/>
            </a:p>
          </c:txPr>
          <c:dLblPos val="inEnd"/>
          <c:showLegendKey val="0"/>
          <c:showVal val="0"/>
          <c:showCatName val="0"/>
          <c:showSerName val="1"/>
          <c:showPercent val="0"/>
          <c:showBubbleSize val="0"/>
          <c:extLst>
            <c:ext xmlns:c15="http://schemas.microsoft.com/office/drawing/2012/chart" uri="{CE6537A1-D6FC-4f65-9D91-7224C49458BB}"/>
          </c:extLst>
        </c:dLbl>
      </c:pivotFmt>
      <c:pivotFmt>
        <c:idx val="9"/>
        <c:spPr>
          <a:solidFill>
            <a:srgbClr val="FF7D67"/>
          </a:solidFill>
          <a:ln>
            <a:noFill/>
          </a:ln>
          <a:effectLst/>
          <a:scene3d>
            <a:camera prst="orthographicFront"/>
            <a:lightRig rig="threePt" dir="t"/>
          </a:scene3d>
          <a:sp3d>
            <a:bevel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mn-lt"/>
                  <a:ea typeface="+mn-ea"/>
                  <a:cs typeface="+mn-cs"/>
                </a:defRPr>
              </a:pPr>
              <a:endParaRPr lang="en-US"/>
            </a:p>
          </c:txPr>
          <c:dLblPos val="inEnd"/>
          <c:showLegendKey val="0"/>
          <c:showVal val="0"/>
          <c:showCatName val="0"/>
          <c:showSerName val="1"/>
          <c:showPercent val="0"/>
          <c:showBubbleSize val="0"/>
          <c:extLst>
            <c:ext xmlns:c15="http://schemas.microsoft.com/office/drawing/2012/chart" uri="{CE6537A1-D6FC-4f65-9D91-7224C49458BB}"/>
          </c:extLst>
        </c:dLbl>
      </c:pivotFmt>
      <c:pivotFmt>
        <c:idx val="10"/>
        <c:spPr>
          <a:solidFill>
            <a:srgbClr val="7DB17A"/>
          </a:solidFill>
          <a:ln>
            <a:noFill/>
          </a:ln>
          <a:effectLst>
            <a:softEdge rad="50800"/>
          </a:effectLst>
          <a:scene3d>
            <a:camera prst="orthographicFront"/>
            <a:lightRig rig="threePt" dir="t"/>
          </a:scene3d>
          <a:sp3d>
            <a:bevelT/>
          </a:sp3d>
        </c:spPr>
      </c:pivotFmt>
      <c:pivotFmt>
        <c:idx val="11"/>
        <c:spPr>
          <a:solidFill>
            <a:srgbClr val="7DB17A"/>
          </a:solidFill>
          <a:ln>
            <a:noFill/>
          </a:ln>
          <a:effectLst>
            <a:softEdge rad="50800"/>
          </a:effectLst>
          <a:scene3d>
            <a:camera prst="orthographicFront"/>
            <a:lightRig rig="threePt" dir="t"/>
          </a:scene3d>
          <a:sp3d>
            <a:bevelT/>
          </a:sp3d>
        </c:spPr>
      </c:pivotFmt>
      <c:pivotFmt>
        <c:idx val="12"/>
        <c:spPr>
          <a:solidFill>
            <a:srgbClr val="7DB17A"/>
          </a:solidFill>
          <a:ln>
            <a:noFill/>
          </a:ln>
          <a:effectLst>
            <a:softEdge rad="50800"/>
          </a:effectLst>
          <a:scene3d>
            <a:camera prst="orthographicFront"/>
            <a:lightRig rig="threePt" dir="t"/>
          </a:scene3d>
          <a:sp3d>
            <a:bevelT/>
          </a:sp3d>
        </c:spPr>
      </c:pivotFmt>
      <c:pivotFmt>
        <c:idx val="13"/>
        <c:spPr>
          <a:solidFill>
            <a:srgbClr val="7DB17A"/>
          </a:solidFill>
          <a:ln>
            <a:noFill/>
          </a:ln>
          <a:effectLst>
            <a:softEdge rad="50800"/>
          </a:effectLst>
          <a:scene3d>
            <a:camera prst="orthographicFront"/>
            <a:lightRig rig="threePt" dir="t"/>
          </a:scene3d>
          <a:sp3d>
            <a:bevelT/>
          </a:sp3d>
        </c:spPr>
      </c:pivotFmt>
      <c:pivotFmt>
        <c:idx val="14"/>
        <c:spPr>
          <a:solidFill>
            <a:srgbClr val="7DB17A"/>
          </a:solidFill>
          <a:ln>
            <a:noFill/>
          </a:ln>
          <a:effectLst>
            <a:softEdge rad="50800"/>
          </a:effectLst>
          <a:scene3d>
            <a:camera prst="orthographicFront"/>
            <a:lightRig rig="threePt" dir="t"/>
          </a:scene3d>
          <a:sp3d>
            <a:bevelT/>
          </a:sp3d>
        </c:spPr>
      </c:pivotFmt>
      <c:pivotFmt>
        <c:idx val="15"/>
        <c:spPr>
          <a:solidFill>
            <a:srgbClr val="7DB17A"/>
          </a:solidFill>
          <a:ln>
            <a:noFill/>
          </a:ln>
          <a:effectLst>
            <a:softEdge rad="50800"/>
          </a:effectLst>
          <a:scene3d>
            <a:camera prst="orthographicFront"/>
            <a:lightRig rig="threePt" dir="t"/>
          </a:scene3d>
          <a:sp3d>
            <a:bevelT/>
          </a:sp3d>
        </c:spPr>
      </c:pivotFmt>
      <c:pivotFmt>
        <c:idx val="16"/>
        <c:spPr>
          <a:solidFill>
            <a:srgbClr val="7DB17A"/>
          </a:solidFill>
          <a:ln>
            <a:noFill/>
          </a:ln>
          <a:effectLst>
            <a:outerShdw blurRad="50800" dist="38100" dir="2700000" algn="tl" rotWithShape="0">
              <a:prstClr val="black">
                <a:alpha val="40000"/>
              </a:prstClr>
            </a:outerShdw>
          </a:effectLst>
          <a:scene3d>
            <a:camera prst="orthographicFront"/>
            <a:lightRig rig="threePt" dir="t"/>
          </a:scene3d>
          <a:sp3d>
            <a:bevelT h="19050"/>
          </a:sp3d>
        </c:spPr>
        <c:marker>
          <c:symbol val="none"/>
        </c:marker>
        <c:dLbl>
          <c:idx val="0"/>
          <c:spPr>
            <a:noFill/>
            <a:ln>
              <a:noFill/>
            </a:ln>
            <a:effectLst/>
          </c:spPr>
          <c:txPr>
            <a:bodyPr rot="0" spcFirstLastPara="1" vertOverflow="overflow" horzOverflow="overflow" vert="horz" wrap="square" lIns="38100" tIns="19050" rIns="38100" bIns="19050" anchor="t" anchorCtr="1">
              <a:spAutoFit/>
            </a:bodyPr>
            <a:lstStyle/>
            <a:p>
              <a:pPr>
                <a:defRPr sz="1400" b="1" i="0" u="none" strike="noStrike" kern="1200" baseline="0">
                  <a:ln>
                    <a:noFill/>
                  </a:ln>
                  <a:solidFill>
                    <a:schemeClr val="tx1">
                      <a:lumMod val="75000"/>
                      <a:lumOff val="25000"/>
                    </a:schemeClr>
                  </a:solidFill>
                  <a:latin typeface="+mn-lt"/>
                  <a:ea typeface="+mn-ea"/>
                  <a:cs typeface="+mn-cs"/>
                </a:defRPr>
              </a:pPr>
              <a:endParaRPr lang="en-US"/>
            </a:p>
          </c:txPr>
          <c:dLblPos val="inEnd"/>
          <c:showLegendKey val="0"/>
          <c:showVal val="0"/>
          <c:showCatName val="0"/>
          <c:showSerName val="1"/>
          <c:showPercent val="0"/>
          <c:showBubbleSize val="0"/>
          <c:extLst>
            <c:ext xmlns:c15="http://schemas.microsoft.com/office/drawing/2012/chart" uri="{CE6537A1-D6FC-4f65-9D91-7224C49458BB}"/>
          </c:extLst>
        </c:dLbl>
      </c:pivotFmt>
      <c:pivotFmt>
        <c:idx val="17"/>
        <c:spPr>
          <a:solidFill>
            <a:srgbClr val="C1FFC1"/>
          </a:solidFill>
          <a:ln>
            <a:noFill/>
          </a:ln>
          <a:effectLst>
            <a:outerShdw blurRad="50800" dist="38100" dir="2700000" algn="tl" rotWithShape="0">
              <a:prstClr val="black">
                <a:alpha val="40000"/>
              </a:prstClr>
            </a:outerShdw>
          </a:effectLst>
          <a:scene3d>
            <a:camera prst="orthographicFront"/>
            <a:lightRig rig="threePt" dir="t"/>
          </a:scene3d>
          <a:sp3d>
            <a:bevelT h="1905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mn-lt"/>
                  <a:ea typeface="+mn-ea"/>
                  <a:cs typeface="+mn-cs"/>
                </a:defRPr>
              </a:pPr>
              <a:endParaRPr lang="en-US"/>
            </a:p>
          </c:txPr>
          <c:dLblPos val="inEnd"/>
          <c:showLegendKey val="0"/>
          <c:showVal val="0"/>
          <c:showCatName val="0"/>
          <c:showSerName val="1"/>
          <c:showPercent val="0"/>
          <c:showBubbleSize val="0"/>
          <c:extLst>
            <c:ext xmlns:c15="http://schemas.microsoft.com/office/drawing/2012/chart" uri="{CE6537A1-D6FC-4f65-9D91-7224C49458BB}"/>
          </c:extLst>
        </c:dLbl>
      </c:pivotFmt>
      <c:pivotFmt>
        <c:idx val="18"/>
        <c:spPr>
          <a:solidFill>
            <a:srgbClr val="FFFF66"/>
          </a:solidFill>
          <a:ln>
            <a:noFill/>
          </a:ln>
          <a:effectLst>
            <a:outerShdw blurRad="50800" dist="38100" dir="2700000" algn="tl" rotWithShape="0">
              <a:prstClr val="black">
                <a:alpha val="40000"/>
              </a:prstClr>
            </a:outerShdw>
          </a:effectLst>
          <a:scene3d>
            <a:camera prst="orthographicFront"/>
            <a:lightRig rig="threePt" dir="t"/>
          </a:scene3d>
          <a:sp3d>
            <a:bevelT h="1905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mn-lt"/>
                  <a:ea typeface="+mn-ea"/>
                  <a:cs typeface="+mn-cs"/>
                </a:defRPr>
              </a:pPr>
              <a:endParaRPr lang="en-US"/>
            </a:p>
          </c:txPr>
          <c:dLblPos val="inEnd"/>
          <c:showLegendKey val="0"/>
          <c:showVal val="0"/>
          <c:showCatName val="0"/>
          <c:showSerName val="1"/>
          <c:showPercent val="0"/>
          <c:showBubbleSize val="0"/>
          <c:extLst>
            <c:ext xmlns:c15="http://schemas.microsoft.com/office/drawing/2012/chart" uri="{CE6537A1-D6FC-4f65-9D91-7224C49458BB}"/>
          </c:extLst>
        </c:dLbl>
      </c:pivotFmt>
      <c:pivotFmt>
        <c:idx val="19"/>
        <c:spPr>
          <a:solidFill>
            <a:srgbClr val="FFC267"/>
          </a:solidFill>
          <a:ln>
            <a:noFill/>
          </a:ln>
          <a:effectLst>
            <a:outerShdw blurRad="50800" dist="38100" dir="2700000" algn="tl" rotWithShape="0">
              <a:prstClr val="black">
                <a:alpha val="40000"/>
              </a:prstClr>
            </a:outerShdw>
          </a:effectLst>
          <a:scene3d>
            <a:camera prst="orthographicFront"/>
            <a:lightRig rig="threePt" dir="t"/>
          </a:scene3d>
          <a:sp3d>
            <a:bevelT h="1905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mn-lt"/>
                  <a:ea typeface="+mn-ea"/>
                  <a:cs typeface="+mn-cs"/>
                </a:defRPr>
              </a:pPr>
              <a:endParaRPr lang="en-US"/>
            </a:p>
          </c:txPr>
          <c:dLblPos val="inEnd"/>
          <c:showLegendKey val="0"/>
          <c:showVal val="0"/>
          <c:showCatName val="0"/>
          <c:showSerName val="1"/>
          <c:showPercent val="0"/>
          <c:showBubbleSize val="0"/>
          <c:extLst>
            <c:ext xmlns:c15="http://schemas.microsoft.com/office/drawing/2012/chart" uri="{CE6537A1-D6FC-4f65-9D91-7224C49458BB}"/>
          </c:extLst>
        </c:dLbl>
      </c:pivotFmt>
      <c:pivotFmt>
        <c:idx val="20"/>
        <c:spPr>
          <a:solidFill>
            <a:srgbClr val="FF7D67"/>
          </a:solidFill>
          <a:ln>
            <a:noFill/>
          </a:ln>
          <a:effectLst>
            <a:outerShdw blurRad="50800" dist="38100" dir="2700000" algn="tl" rotWithShape="0">
              <a:prstClr val="black">
                <a:alpha val="40000"/>
              </a:prstClr>
            </a:outerShdw>
          </a:effectLst>
          <a:scene3d>
            <a:camera prst="orthographicFront"/>
            <a:lightRig rig="threePt" dir="t"/>
          </a:scene3d>
          <a:sp3d>
            <a:bevelT h="1905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mn-lt"/>
                  <a:ea typeface="+mn-ea"/>
                  <a:cs typeface="+mn-cs"/>
                </a:defRPr>
              </a:pPr>
              <a:endParaRPr lang="en-US"/>
            </a:p>
          </c:txPr>
          <c:dLblPos val="inEnd"/>
          <c:showLegendKey val="0"/>
          <c:showVal val="0"/>
          <c:showCatName val="0"/>
          <c:showSerName val="1"/>
          <c:showPercent val="0"/>
          <c:showBubbleSize val="0"/>
          <c:extLst>
            <c:ext xmlns:c15="http://schemas.microsoft.com/office/drawing/2012/chart" uri="{CE6537A1-D6FC-4f65-9D91-7224C49458BB}"/>
          </c:extLst>
        </c:dLbl>
      </c:pivotFmt>
      <c:pivotFmt>
        <c:idx val="21"/>
        <c:spPr>
          <a:solidFill>
            <a:srgbClr val="7DB17A"/>
          </a:solidFill>
          <a:ln>
            <a:noFill/>
          </a:ln>
          <a:effectLst>
            <a:outerShdw blurRad="50800" dist="38100" dir="2700000" algn="tl" rotWithShape="0">
              <a:prstClr val="black">
                <a:alpha val="40000"/>
              </a:prstClr>
            </a:outerShdw>
          </a:effectLst>
          <a:scene3d>
            <a:camera prst="orthographicFront"/>
            <a:lightRig rig="threePt" dir="t"/>
          </a:scene3d>
          <a:sp3d>
            <a:bevelT h="19050"/>
          </a:sp3d>
        </c:spPr>
        <c:marker>
          <c:symbol val="none"/>
        </c:marker>
        <c:dLbl>
          <c:idx val="0"/>
          <c:spPr>
            <a:noFill/>
            <a:ln>
              <a:noFill/>
            </a:ln>
            <a:effectLst/>
          </c:spPr>
          <c:txPr>
            <a:bodyPr rot="0" spcFirstLastPara="1" vertOverflow="overflow" horzOverflow="overflow" vert="horz" wrap="square" lIns="38100" tIns="19050" rIns="38100" bIns="19050" anchor="t" anchorCtr="1">
              <a:spAutoFit/>
            </a:bodyPr>
            <a:lstStyle/>
            <a:p>
              <a:pPr>
                <a:defRPr sz="1400" b="1" i="0" u="none" strike="noStrike" kern="1200" baseline="0">
                  <a:ln>
                    <a:noFill/>
                  </a:ln>
                  <a:solidFill>
                    <a:schemeClr val="tx1">
                      <a:lumMod val="75000"/>
                      <a:lumOff val="25000"/>
                    </a:schemeClr>
                  </a:solidFill>
                  <a:latin typeface="+mn-lt"/>
                  <a:ea typeface="+mn-ea"/>
                  <a:cs typeface="+mn-cs"/>
                </a:defRPr>
              </a:pPr>
              <a:endParaRPr lang="en-US"/>
            </a:p>
          </c:txPr>
          <c:dLblPos val="inEnd"/>
          <c:showLegendKey val="0"/>
          <c:showVal val="0"/>
          <c:showCatName val="0"/>
          <c:showSerName val="1"/>
          <c:showPercent val="0"/>
          <c:showBubbleSize val="0"/>
          <c:extLst>
            <c:ext xmlns:c15="http://schemas.microsoft.com/office/drawing/2012/chart" uri="{CE6537A1-D6FC-4f65-9D91-7224C49458BB}"/>
          </c:extLst>
        </c:dLbl>
      </c:pivotFmt>
      <c:pivotFmt>
        <c:idx val="22"/>
        <c:spPr>
          <a:solidFill>
            <a:srgbClr val="C1FFC1"/>
          </a:solidFill>
          <a:ln>
            <a:noFill/>
          </a:ln>
          <a:effectLst>
            <a:outerShdw blurRad="50800" dist="38100" dir="2700000" algn="tl" rotWithShape="0">
              <a:prstClr val="black">
                <a:alpha val="40000"/>
              </a:prstClr>
            </a:outerShdw>
          </a:effectLst>
          <a:scene3d>
            <a:camera prst="orthographicFront"/>
            <a:lightRig rig="threePt" dir="t"/>
          </a:scene3d>
          <a:sp3d>
            <a:bevelT h="1905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mn-lt"/>
                  <a:ea typeface="+mn-ea"/>
                  <a:cs typeface="+mn-cs"/>
                </a:defRPr>
              </a:pPr>
              <a:endParaRPr lang="en-US"/>
            </a:p>
          </c:txPr>
          <c:dLblPos val="inEnd"/>
          <c:showLegendKey val="0"/>
          <c:showVal val="0"/>
          <c:showCatName val="0"/>
          <c:showSerName val="1"/>
          <c:showPercent val="0"/>
          <c:showBubbleSize val="0"/>
          <c:extLst>
            <c:ext xmlns:c15="http://schemas.microsoft.com/office/drawing/2012/chart" uri="{CE6537A1-D6FC-4f65-9D91-7224C49458BB}"/>
          </c:extLst>
        </c:dLbl>
      </c:pivotFmt>
      <c:pivotFmt>
        <c:idx val="23"/>
        <c:spPr>
          <a:solidFill>
            <a:srgbClr val="FFFF66"/>
          </a:solidFill>
          <a:ln>
            <a:noFill/>
          </a:ln>
          <a:effectLst>
            <a:outerShdw blurRad="50800" dist="38100" dir="2700000" algn="tl" rotWithShape="0">
              <a:prstClr val="black">
                <a:alpha val="40000"/>
              </a:prstClr>
            </a:outerShdw>
          </a:effectLst>
          <a:scene3d>
            <a:camera prst="orthographicFront"/>
            <a:lightRig rig="threePt" dir="t"/>
          </a:scene3d>
          <a:sp3d>
            <a:bevelT h="1905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mn-lt"/>
                  <a:ea typeface="+mn-ea"/>
                  <a:cs typeface="+mn-cs"/>
                </a:defRPr>
              </a:pPr>
              <a:endParaRPr lang="en-US"/>
            </a:p>
          </c:txPr>
          <c:dLblPos val="inEnd"/>
          <c:showLegendKey val="0"/>
          <c:showVal val="0"/>
          <c:showCatName val="0"/>
          <c:showSerName val="1"/>
          <c:showPercent val="0"/>
          <c:showBubbleSize val="0"/>
          <c:extLst>
            <c:ext xmlns:c15="http://schemas.microsoft.com/office/drawing/2012/chart" uri="{CE6537A1-D6FC-4f65-9D91-7224C49458BB}"/>
          </c:extLst>
        </c:dLbl>
      </c:pivotFmt>
      <c:pivotFmt>
        <c:idx val="24"/>
        <c:spPr>
          <a:solidFill>
            <a:srgbClr val="FFC267"/>
          </a:solidFill>
          <a:ln>
            <a:noFill/>
          </a:ln>
          <a:effectLst>
            <a:outerShdw blurRad="50800" dist="38100" dir="2700000" algn="tl" rotWithShape="0">
              <a:prstClr val="black">
                <a:alpha val="40000"/>
              </a:prstClr>
            </a:outerShdw>
          </a:effectLst>
          <a:scene3d>
            <a:camera prst="orthographicFront"/>
            <a:lightRig rig="threePt" dir="t"/>
          </a:scene3d>
          <a:sp3d>
            <a:bevelT h="1905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mn-lt"/>
                  <a:ea typeface="+mn-ea"/>
                  <a:cs typeface="+mn-cs"/>
                </a:defRPr>
              </a:pPr>
              <a:endParaRPr lang="en-US"/>
            </a:p>
          </c:txPr>
          <c:dLblPos val="inEnd"/>
          <c:showLegendKey val="0"/>
          <c:showVal val="0"/>
          <c:showCatName val="0"/>
          <c:showSerName val="1"/>
          <c:showPercent val="0"/>
          <c:showBubbleSize val="0"/>
          <c:extLst>
            <c:ext xmlns:c15="http://schemas.microsoft.com/office/drawing/2012/chart" uri="{CE6537A1-D6FC-4f65-9D91-7224C49458BB}"/>
          </c:extLst>
        </c:dLbl>
      </c:pivotFmt>
      <c:pivotFmt>
        <c:idx val="25"/>
        <c:spPr>
          <a:solidFill>
            <a:srgbClr val="FF7D67"/>
          </a:solidFill>
          <a:ln>
            <a:noFill/>
          </a:ln>
          <a:effectLst>
            <a:outerShdw blurRad="50800" dist="38100" dir="2700000" algn="tl" rotWithShape="0">
              <a:prstClr val="black">
                <a:alpha val="40000"/>
              </a:prstClr>
            </a:outerShdw>
          </a:effectLst>
          <a:scene3d>
            <a:camera prst="orthographicFront"/>
            <a:lightRig rig="threePt" dir="t"/>
          </a:scene3d>
          <a:sp3d>
            <a:bevelT h="1905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mn-lt"/>
                  <a:ea typeface="+mn-ea"/>
                  <a:cs typeface="+mn-cs"/>
                </a:defRPr>
              </a:pPr>
              <a:endParaRPr lang="en-US"/>
            </a:p>
          </c:txPr>
          <c:dLblPos val="inEnd"/>
          <c:showLegendKey val="0"/>
          <c:showVal val="0"/>
          <c:showCatName val="0"/>
          <c:showSerName val="1"/>
          <c:showPercent val="0"/>
          <c:showBubbleSize val="0"/>
          <c:extLst>
            <c:ext xmlns:c15="http://schemas.microsoft.com/office/drawing/2012/chart" uri="{CE6537A1-D6FC-4f65-9D91-7224C49458BB}"/>
          </c:extLst>
        </c:dLbl>
      </c:pivotFmt>
      <c:pivotFmt>
        <c:idx val="26"/>
        <c:spPr>
          <a:solidFill>
            <a:srgbClr val="7DB17A"/>
          </a:solidFill>
          <a:ln>
            <a:noFill/>
          </a:ln>
          <a:effectLst>
            <a:outerShdw blurRad="50800" dist="38100" dir="2700000" algn="tl" rotWithShape="0">
              <a:prstClr val="black">
                <a:alpha val="40000"/>
              </a:prstClr>
            </a:outerShdw>
          </a:effectLst>
          <a:scene3d>
            <a:camera prst="orthographicFront"/>
            <a:lightRig rig="threePt" dir="t"/>
          </a:scene3d>
          <a:sp3d>
            <a:bevelT h="19050"/>
          </a:sp3d>
        </c:spPr>
        <c:marker>
          <c:symbol val="none"/>
        </c:marker>
        <c:dLbl>
          <c:idx val="0"/>
          <c:spPr>
            <a:noFill/>
            <a:ln>
              <a:noFill/>
            </a:ln>
            <a:effectLst/>
          </c:spPr>
          <c:txPr>
            <a:bodyPr rot="0" spcFirstLastPara="1" vertOverflow="overflow" horzOverflow="overflow" vert="horz" wrap="square" lIns="38100" tIns="19050" rIns="38100" bIns="19050" anchor="t" anchorCtr="1">
              <a:spAutoFit/>
            </a:bodyPr>
            <a:lstStyle/>
            <a:p>
              <a:pPr>
                <a:defRPr sz="1400" b="1" i="0" u="none" strike="noStrike" kern="1200" baseline="0">
                  <a:ln>
                    <a:noFill/>
                  </a:ln>
                  <a:solidFill>
                    <a:schemeClr val="tx1">
                      <a:lumMod val="75000"/>
                      <a:lumOff val="25000"/>
                    </a:schemeClr>
                  </a:solidFill>
                  <a:latin typeface="+mn-lt"/>
                  <a:ea typeface="+mn-ea"/>
                  <a:cs typeface="+mn-cs"/>
                </a:defRPr>
              </a:pPr>
              <a:endParaRPr lang="en-US"/>
            </a:p>
          </c:txPr>
          <c:dLblPos val="inEnd"/>
          <c:showLegendKey val="0"/>
          <c:showVal val="0"/>
          <c:showCatName val="0"/>
          <c:showSerName val="1"/>
          <c:showPercent val="0"/>
          <c:showBubbleSize val="0"/>
          <c:extLst>
            <c:ext xmlns:c15="http://schemas.microsoft.com/office/drawing/2012/chart" uri="{CE6537A1-D6FC-4f65-9D91-7224C49458BB}"/>
          </c:extLst>
        </c:dLbl>
      </c:pivotFmt>
      <c:pivotFmt>
        <c:idx val="27"/>
        <c:spPr>
          <a:solidFill>
            <a:srgbClr val="C1FFC1"/>
          </a:solidFill>
          <a:ln>
            <a:noFill/>
          </a:ln>
          <a:effectLst>
            <a:outerShdw blurRad="50800" dist="38100" dir="2700000" algn="tl" rotWithShape="0">
              <a:prstClr val="black">
                <a:alpha val="40000"/>
              </a:prstClr>
            </a:outerShdw>
          </a:effectLst>
          <a:scene3d>
            <a:camera prst="orthographicFront"/>
            <a:lightRig rig="threePt" dir="t"/>
          </a:scene3d>
          <a:sp3d>
            <a:bevelT h="1905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mn-lt"/>
                  <a:ea typeface="+mn-ea"/>
                  <a:cs typeface="+mn-cs"/>
                </a:defRPr>
              </a:pPr>
              <a:endParaRPr lang="en-US"/>
            </a:p>
          </c:txPr>
          <c:dLblPos val="inEnd"/>
          <c:showLegendKey val="0"/>
          <c:showVal val="0"/>
          <c:showCatName val="0"/>
          <c:showSerName val="1"/>
          <c:showPercent val="0"/>
          <c:showBubbleSize val="0"/>
          <c:extLst>
            <c:ext xmlns:c15="http://schemas.microsoft.com/office/drawing/2012/chart" uri="{CE6537A1-D6FC-4f65-9D91-7224C49458BB}"/>
          </c:extLst>
        </c:dLbl>
      </c:pivotFmt>
      <c:pivotFmt>
        <c:idx val="28"/>
        <c:spPr>
          <a:solidFill>
            <a:srgbClr val="FFFF66"/>
          </a:solidFill>
          <a:ln>
            <a:noFill/>
          </a:ln>
          <a:effectLst>
            <a:outerShdw blurRad="50800" dist="38100" dir="2700000" algn="tl" rotWithShape="0">
              <a:prstClr val="black">
                <a:alpha val="40000"/>
              </a:prstClr>
            </a:outerShdw>
          </a:effectLst>
          <a:scene3d>
            <a:camera prst="orthographicFront"/>
            <a:lightRig rig="threePt" dir="t"/>
          </a:scene3d>
          <a:sp3d>
            <a:bevelT h="1905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mn-lt"/>
                  <a:ea typeface="+mn-ea"/>
                  <a:cs typeface="+mn-cs"/>
                </a:defRPr>
              </a:pPr>
              <a:endParaRPr lang="en-US"/>
            </a:p>
          </c:txPr>
          <c:dLblPos val="inEnd"/>
          <c:showLegendKey val="0"/>
          <c:showVal val="0"/>
          <c:showCatName val="0"/>
          <c:showSerName val="1"/>
          <c:showPercent val="0"/>
          <c:showBubbleSize val="0"/>
          <c:extLst>
            <c:ext xmlns:c15="http://schemas.microsoft.com/office/drawing/2012/chart" uri="{CE6537A1-D6FC-4f65-9D91-7224C49458BB}"/>
          </c:extLst>
        </c:dLbl>
      </c:pivotFmt>
      <c:pivotFmt>
        <c:idx val="29"/>
        <c:spPr>
          <a:solidFill>
            <a:srgbClr val="FFC267"/>
          </a:solidFill>
          <a:ln>
            <a:noFill/>
          </a:ln>
          <a:effectLst>
            <a:outerShdw blurRad="50800" dist="38100" dir="2700000" algn="tl" rotWithShape="0">
              <a:prstClr val="black">
                <a:alpha val="40000"/>
              </a:prstClr>
            </a:outerShdw>
          </a:effectLst>
          <a:scene3d>
            <a:camera prst="orthographicFront"/>
            <a:lightRig rig="threePt" dir="t"/>
          </a:scene3d>
          <a:sp3d>
            <a:bevelT h="1905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mn-lt"/>
                  <a:ea typeface="+mn-ea"/>
                  <a:cs typeface="+mn-cs"/>
                </a:defRPr>
              </a:pPr>
              <a:endParaRPr lang="en-US"/>
            </a:p>
          </c:txPr>
          <c:dLblPos val="inEnd"/>
          <c:showLegendKey val="0"/>
          <c:showVal val="0"/>
          <c:showCatName val="0"/>
          <c:showSerName val="1"/>
          <c:showPercent val="0"/>
          <c:showBubbleSize val="0"/>
          <c:extLst>
            <c:ext xmlns:c15="http://schemas.microsoft.com/office/drawing/2012/chart" uri="{CE6537A1-D6FC-4f65-9D91-7224C49458BB}"/>
          </c:extLst>
        </c:dLbl>
      </c:pivotFmt>
      <c:pivotFmt>
        <c:idx val="30"/>
        <c:spPr>
          <a:solidFill>
            <a:srgbClr val="FF7D67"/>
          </a:solidFill>
          <a:ln>
            <a:noFill/>
          </a:ln>
          <a:effectLst>
            <a:outerShdw blurRad="50800" dist="38100" dir="2700000" algn="tl" rotWithShape="0">
              <a:prstClr val="black">
                <a:alpha val="40000"/>
              </a:prstClr>
            </a:outerShdw>
          </a:effectLst>
          <a:scene3d>
            <a:camera prst="orthographicFront"/>
            <a:lightRig rig="threePt" dir="t"/>
          </a:scene3d>
          <a:sp3d>
            <a:bevelT h="1905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mn-lt"/>
                  <a:ea typeface="+mn-ea"/>
                  <a:cs typeface="+mn-cs"/>
                </a:defRPr>
              </a:pPr>
              <a:endParaRPr lang="en-US"/>
            </a:p>
          </c:txPr>
          <c:dLblPos val="inEnd"/>
          <c:showLegendKey val="0"/>
          <c:showVal val="0"/>
          <c:showCatName val="0"/>
          <c:showSerName val="1"/>
          <c:showPercent val="0"/>
          <c:showBubbleSize val="0"/>
          <c:extLst>
            <c:ext xmlns:c15="http://schemas.microsoft.com/office/drawing/2012/chart" uri="{CE6537A1-D6FC-4f65-9D91-7224C49458BB}"/>
          </c:extLst>
        </c:dLbl>
      </c:pivotFmt>
    </c:pivotFmts>
    <c:plotArea>
      <c:layout/>
      <c:barChart>
        <c:barDir val="col"/>
        <c:grouping val="percentStacked"/>
        <c:varyColors val="0"/>
        <c:ser>
          <c:idx val="0"/>
          <c:order val="0"/>
          <c:tx>
            <c:strRef>
              <c:f>'October calculations'!$E$382</c:f>
              <c:strCache>
                <c:ptCount val="1"/>
                <c:pt idx="0">
                  <c:v>Yes</c:v>
                </c:pt>
              </c:strCache>
            </c:strRef>
          </c:tx>
          <c:spPr>
            <a:solidFill>
              <a:srgbClr val="7DB17A"/>
            </a:solidFill>
            <a:ln>
              <a:noFill/>
            </a:ln>
            <a:effectLst>
              <a:outerShdw blurRad="50800" dist="38100" dir="2700000" algn="tl" rotWithShape="0">
                <a:prstClr val="black">
                  <a:alpha val="40000"/>
                </a:prstClr>
              </a:outerShdw>
            </a:effectLst>
            <a:scene3d>
              <a:camera prst="orthographicFront"/>
              <a:lightRig rig="threePt" dir="t"/>
            </a:scene3d>
            <a:sp3d>
              <a:bevelT h="19050"/>
            </a:sp3d>
          </c:spPr>
          <c:invertIfNegative val="0"/>
          <c:dLbls>
            <c:dLbl>
              <c:idx val="0"/>
              <c:dLblPos val="inEnd"/>
              <c:showLegendKey val="0"/>
              <c:showVal val="1"/>
              <c:showCatName val="0"/>
              <c:showSerName val="1"/>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0-2AFE-40E0-B148-C9AB1458A481}"/>
                </c:ext>
              </c:extLst>
            </c:dLbl>
            <c:dLbl>
              <c:idx val="1"/>
              <c:dLblPos val="inEnd"/>
              <c:showLegendKey val="0"/>
              <c:showVal val="1"/>
              <c:showCatName val="0"/>
              <c:showSerName val="1"/>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1-2AFE-40E0-B148-C9AB1458A481}"/>
                </c:ext>
              </c:extLst>
            </c:dLbl>
            <c:spPr>
              <a:noFill/>
              <a:ln>
                <a:noFill/>
              </a:ln>
              <a:effectLst/>
            </c:spPr>
            <c:txPr>
              <a:bodyPr rot="0" spcFirstLastPara="1" vertOverflow="overflow" horzOverflow="overflow" vert="horz" wrap="square" lIns="38100" tIns="19050" rIns="38100" bIns="19050" anchor="t" anchorCtr="1">
                <a:spAutoFit/>
              </a:bodyPr>
              <a:lstStyle/>
              <a:p>
                <a:pPr>
                  <a:defRPr sz="1400" b="1" i="0" u="none" strike="noStrike" kern="1200" baseline="0">
                    <a:ln>
                      <a:noFill/>
                    </a:ln>
                    <a:solidFill>
                      <a:schemeClr val="tx1">
                        <a:lumMod val="75000"/>
                        <a:lumOff val="25000"/>
                      </a:schemeClr>
                    </a:solidFill>
                    <a:latin typeface="+mn-lt"/>
                    <a:ea typeface="+mn-ea"/>
                    <a:cs typeface="+mn-cs"/>
                  </a:defRPr>
                </a:pPr>
                <a:endParaRPr lang="en-US"/>
              </a:p>
            </c:txPr>
            <c:dLblPos val="inEnd"/>
            <c:showLegendKey val="0"/>
            <c:showVal val="0"/>
            <c:showCatName val="0"/>
            <c:showSerName val="1"/>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'October calculations'!$F$381:$G$381</c:f>
              <c:strCache>
                <c:ptCount val="2"/>
                <c:pt idx="0">
                  <c:v>April 2017</c:v>
                </c:pt>
                <c:pt idx="1">
                  <c:v>November 2017</c:v>
                </c:pt>
              </c:strCache>
            </c:strRef>
          </c:cat>
          <c:val>
            <c:numRef>
              <c:f>'October calculations'!$F$382:$G$382</c:f>
              <c:numCache>
                <c:formatCode>0%</c:formatCode>
                <c:ptCount val="2"/>
                <c:pt idx="0">
                  <c:v>0.41786743515850144</c:v>
                </c:pt>
                <c:pt idx="1">
                  <c:v>0.50584795321637432</c:v>
                </c:pt>
              </c:numCache>
            </c:numRef>
          </c:val>
          <c:extLst>
            <c:ext xmlns:c16="http://schemas.microsoft.com/office/drawing/2014/chart" uri="{C3380CC4-5D6E-409C-BE32-E72D297353CC}">
              <c16:uniqueId val="{00000002-2AFE-40E0-B148-C9AB1458A481}"/>
            </c:ext>
          </c:extLst>
        </c:ser>
        <c:ser>
          <c:idx val="1"/>
          <c:order val="1"/>
          <c:tx>
            <c:strRef>
              <c:f>'October calculations'!$E$383</c:f>
              <c:strCache>
                <c:ptCount val="1"/>
                <c:pt idx="0">
                  <c:v>No</c:v>
                </c:pt>
              </c:strCache>
            </c:strRef>
          </c:tx>
          <c:spPr>
            <a:solidFill>
              <a:srgbClr val="FF7D67"/>
            </a:solidFill>
            <a:ln>
              <a:noFill/>
            </a:ln>
            <a:effectLst>
              <a:outerShdw blurRad="50800" dist="38100" dir="2700000" algn="tl" rotWithShape="0">
                <a:prstClr val="black">
                  <a:alpha val="40000"/>
                </a:prstClr>
              </a:outerShdw>
            </a:effectLst>
            <a:scene3d>
              <a:camera prst="orthographicFront"/>
              <a:lightRig rig="threePt" dir="t"/>
            </a:scene3d>
            <a:sp3d>
              <a:bevelT h="19050"/>
            </a:sp3d>
          </c:spPr>
          <c:invertIfNegative val="0"/>
          <c:dLbls>
            <c:delete val="1"/>
          </c:dLbls>
          <c:cat>
            <c:strRef>
              <c:f>'October calculations'!$F$381:$G$381</c:f>
              <c:strCache>
                <c:ptCount val="2"/>
                <c:pt idx="0">
                  <c:v>April 2017</c:v>
                </c:pt>
                <c:pt idx="1">
                  <c:v>November 2017</c:v>
                </c:pt>
              </c:strCache>
            </c:strRef>
          </c:cat>
          <c:val>
            <c:numRef>
              <c:f>'October calculations'!$F$383:$G$383</c:f>
              <c:numCache>
                <c:formatCode>0%</c:formatCode>
                <c:ptCount val="2"/>
                <c:pt idx="0">
                  <c:v>0.58213256484149856</c:v>
                </c:pt>
                <c:pt idx="1">
                  <c:v>0.49415204678362573</c:v>
                </c:pt>
              </c:numCache>
            </c:numRef>
          </c:val>
          <c:extLst>
            <c:ext xmlns:c16="http://schemas.microsoft.com/office/drawing/2014/chart" uri="{C3380CC4-5D6E-409C-BE32-E72D297353CC}">
              <c16:uniqueId val="{00000003-2AFE-40E0-B148-C9AB1458A481}"/>
            </c:ext>
          </c:extLst>
        </c:ser>
        <c:dLbls>
          <c:showLegendKey val="0"/>
          <c:showVal val="1"/>
          <c:showCatName val="0"/>
          <c:showSerName val="0"/>
          <c:showPercent val="0"/>
          <c:showBubbleSize val="0"/>
        </c:dLbls>
        <c:gapWidth val="85"/>
        <c:overlap val="100"/>
        <c:axId val="1829164016"/>
        <c:axId val="1742261216"/>
      </c:barChart>
      <c:catAx>
        <c:axId val="18291640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t" anchorCtr="1"/>
          <a:lstStyle/>
          <a:p>
            <a:pPr>
              <a:defRPr sz="1200" b="1" i="0" u="none" strike="noStrike" kern="1200" baseline="0">
                <a:solidFill>
                  <a:schemeClr val="tx1">
                    <a:lumMod val="65000"/>
                    <a:lumOff val="35000"/>
                  </a:schemeClr>
                </a:solidFill>
                <a:latin typeface="+mn-lt"/>
                <a:ea typeface="+mn-ea"/>
                <a:cs typeface="+mn-cs"/>
              </a:defRPr>
            </a:pPr>
            <a:endParaRPr lang="en-US"/>
          </a:p>
        </c:txPr>
        <c:crossAx val="1742261216"/>
        <c:crossesAt val="0"/>
        <c:auto val="0"/>
        <c:lblAlgn val="ctr"/>
        <c:lblOffset val="0"/>
        <c:noMultiLvlLbl val="0"/>
      </c:catAx>
      <c:valAx>
        <c:axId val="1742261216"/>
        <c:scaling>
          <c:orientation val="minMax"/>
        </c:scaling>
        <c:delete val="0"/>
        <c:axPos val="l"/>
        <c:majorGridlines>
          <c:spPr>
            <a:ln w="19050" cap="flat" cmpd="sng" algn="ctr">
              <a:solidFill>
                <a:schemeClr val="tx1">
                  <a:lumMod val="15000"/>
                  <a:lumOff val="85000"/>
                </a:schemeClr>
              </a:solidFill>
              <a:round/>
            </a:ln>
            <a:effectLst/>
          </c:spPr>
        </c:majorGridlines>
        <c:minorGridlines>
          <c:spPr>
            <a:ln w="2857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r>
                  <a:rPr lang="en-GB" sz="1200" b="1" i="0" baseline="0">
                    <a:effectLst/>
                  </a:rPr>
                  <a:t>Proportion of Authorities</a:t>
                </a:r>
                <a:endParaRPr lang="en-GB" sz="1200">
                  <a:effectLst/>
                </a:endParaRPr>
              </a:p>
            </c:rich>
          </c:tx>
          <c:layout>
            <c:manualLayout>
              <c:xMode val="edge"/>
              <c:yMode val="edge"/>
              <c:x val="7.2416717141126588E-2"/>
              <c:y val="0.30492548956195081"/>
            </c:manualLayout>
          </c:layout>
          <c:overlay val="0"/>
          <c:spPr>
            <a:noFill/>
            <a:ln>
              <a:noFill/>
            </a:ln>
            <a:effectLst/>
          </c:spPr>
          <c:txPr>
            <a:bodyPr rot="-540000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cross"/>
        <c:minorTickMark val="in"/>
        <c:tickLblPos val="nextTo"/>
        <c:spPr>
          <a:noFill/>
          <a:ln>
            <a:solidFill>
              <a:schemeClr val="tx1">
                <a:lumMod val="15000"/>
                <a:lumOff val="85000"/>
              </a:schemeClr>
            </a:solidFill>
          </a:ln>
          <a:effectLst/>
        </c:spPr>
        <c:txPr>
          <a:bodyPr rot="0" spcFirstLastPara="1" vertOverflow="ellipsis" wrap="square" anchor="b" anchorCtr="1"/>
          <a:lstStyle/>
          <a:p>
            <a:pPr>
              <a:defRPr sz="1100" b="0" i="0" u="none" strike="noStrike" kern="1200" baseline="0">
                <a:solidFill>
                  <a:schemeClr val="tx1">
                    <a:lumMod val="65000"/>
                    <a:lumOff val="35000"/>
                  </a:schemeClr>
                </a:solidFill>
                <a:latin typeface="+mn-lt"/>
                <a:ea typeface="+mn-ea"/>
                <a:cs typeface="+mn-cs"/>
              </a:defRPr>
            </a:pPr>
            <a:endParaRPr lang="en-US"/>
          </a:p>
        </c:txPr>
        <c:crossAx val="1829164016"/>
        <c:crosses val="autoZero"/>
        <c:crossBetween val="between"/>
        <c:majorUnit val="0.1"/>
        <c:minorUnit val="5.000000000000001E-2"/>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a:outerShdw blurRad="50800" dist="127000" dir="2700000" algn="tl" rotWithShape="0">
        <a:prstClr val="black">
          <a:alpha val="40000"/>
        </a:prstClr>
      </a:outerShdw>
    </a:effectLst>
    <a:scene3d>
      <a:camera prst="orthographicFront"/>
      <a:lightRig rig="threePt" dir="t"/>
    </a:scene3d>
    <a:sp3d prstMaterial="matte">
      <a:bevelT/>
    </a:sp3d>
  </c:spPr>
  <c:txPr>
    <a:bodyPr/>
    <a:lstStyle/>
    <a:p>
      <a:pPr>
        <a:defRPr/>
      </a:pPr>
      <a:endParaRPr lang="en-US"/>
    </a:p>
  </c:txPr>
  <c:externalData r:id="rId4">
    <c:autoUpdate val="0"/>
  </c:externalData>
  <c:extLst/>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0"/>
          <a:lstStyle/>
          <a:p>
            <a:pPr algn="ctr" rtl="0">
              <a:defRPr lang="en-GB" sz="1200" b="1" i="0" u="none" strike="noStrike" kern="1200" cap="none" spc="0" baseline="0">
                <a:solidFill>
                  <a:sysClr val="windowText" lastClr="000000">
                    <a:lumMod val="65000"/>
                    <a:lumOff val="35000"/>
                  </a:sysClr>
                </a:solidFill>
                <a:latin typeface="+mn-lt"/>
                <a:ea typeface="+mn-ea"/>
                <a:cs typeface="+mn-cs"/>
              </a:defRPr>
            </a:pPr>
            <a:r>
              <a:rPr lang="en-US"/>
              <a:t>Wales S167 Intent</a:t>
            </a:r>
          </a:p>
        </c:rich>
      </c:tx>
      <c:layout>
        <c:manualLayout>
          <c:xMode val="edge"/>
          <c:yMode val="edge"/>
          <c:x val="0.27032951438982755"/>
          <c:y val="1.4911461728324518E-2"/>
        </c:manualLayout>
      </c:layout>
      <c:overlay val="0"/>
      <c:spPr>
        <a:solidFill>
          <a:schemeClr val="bg1"/>
        </a:solidFill>
        <a:ln>
          <a:noFill/>
        </a:ln>
        <a:effectLst/>
      </c:spPr>
      <c:txPr>
        <a:bodyPr rot="0" spcFirstLastPara="1" vertOverflow="ellipsis" vert="horz" wrap="square" anchor="ctr" anchorCtr="0"/>
        <a:lstStyle/>
        <a:p>
          <a:pPr algn="ctr" rtl="0">
            <a:defRPr lang="en-GB" sz="1200" b="1" i="0" u="none" strike="noStrike" kern="1200" cap="none" spc="0" baseline="0">
              <a:solidFill>
                <a:sysClr val="windowText" lastClr="000000">
                  <a:lumMod val="65000"/>
                  <a:lumOff val="35000"/>
                </a:sysClr>
              </a:solidFill>
              <a:latin typeface="+mn-lt"/>
              <a:ea typeface="+mn-ea"/>
              <a:cs typeface="+mn-cs"/>
            </a:defRPr>
          </a:pPr>
          <a:endParaRPr lang="en-US"/>
        </a:p>
      </c:txPr>
    </c:title>
    <c:autoTitleDeleted val="0"/>
    <c:pivotFmts>
      <c:pivotFmt>
        <c:idx val="0"/>
        <c:spPr>
          <a:solidFill>
            <a:schemeClr val="accent1"/>
          </a:solidFill>
          <a:ln>
            <a:noFill/>
          </a:ln>
          <a:effectLst/>
        </c:spPr>
        <c:marker>
          <c:symbol val="none"/>
        </c:marker>
      </c:pivotFmt>
      <c:pivotFmt>
        <c:idx val="1"/>
        <c:spPr>
          <a:solidFill>
            <a:schemeClr val="accent1"/>
          </a:solidFill>
          <a:ln>
            <a:noFill/>
          </a:ln>
          <a:effectLst/>
        </c:spPr>
        <c:marker>
          <c:symbol val="none"/>
        </c:marker>
      </c:pivotFmt>
      <c:pivotFmt>
        <c:idx val="2"/>
        <c:spPr>
          <a:solidFill>
            <a:schemeClr val="accent1"/>
          </a:solidFill>
          <a:ln>
            <a:noFill/>
          </a:ln>
          <a:effectLst/>
        </c:spPr>
        <c:marker>
          <c:symbol val="none"/>
        </c:marker>
      </c:pivotFmt>
      <c:pivotFmt>
        <c:idx val="3"/>
        <c:spPr>
          <a:solidFill>
            <a:schemeClr val="accent1"/>
          </a:solidFill>
          <a:ln>
            <a:noFill/>
          </a:ln>
          <a:effectLst/>
        </c:spPr>
        <c:marker>
          <c:symbol val="none"/>
        </c:marker>
      </c:pivotFmt>
      <c:pivotFmt>
        <c:idx val="4"/>
        <c:spPr>
          <a:solidFill>
            <a:schemeClr val="accent1"/>
          </a:solidFill>
          <a:ln>
            <a:noFill/>
          </a:ln>
          <a:effectLst/>
        </c:spPr>
        <c:marker>
          <c:symbol val="none"/>
        </c:marker>
      </c:pivotFmt>
      <c:pivotFmt>
        <c:idx val="5"/>
        <c:spPr>
          <a:solidFill>
            <a:srgbClr val="7DB17A"/>
          </a:solidFill>
          <a:ln>
            <a:noFill/>
          </a:ln>
          <a:effectLst>
            <a:softEdge rad="50800"/>
          </a:effectLst>
          <a:scene3d>
            <a:camera prst="orthographicFront"/>
            <a:lightRig rig="threePt" dir="t"/>
          </a:scene3d>
          <a:sp3d>
            <a:bevelT/>
          </a:sp3d>
        </c:spPr>
        <c:marker>
          <c:symbol val="none"/>
        </c:marker>
        <c:dLbl>
          <c:idx val="0"/>
          <c:spPr>
            <a:noFill/>
            <a:ln>
              <a:noFill/>
            </a:ln>
            <a:effectLst/>
          </c:spPr>
          <c:txPr>
            <a:bodyPr rot="0" spcFirstLastPara="1" vertOverflow="overflow" horzOverflow="overflow" vert="horz" wrap="square" lIns="38100" tIns="19050" rIns="38100" bIns="19050" anchor="t" anchorCtr="1">
              <a:spAutoFit/>
            </a:bodyPr>
            <a:lstStyle/>
            <a:p>
              <a:pPr>
                <a:defRPr sz="1400" b="1" i="0" u="none" strike="noStrike" kern="1200" baseline="0">
                  <a:ln>
                    <a:noFill/>
                  </a:ln>
                  <a:solidFill>
                    <a:schemeClr val="tx1">
                      <a:lumMod val="75000"/>
                      <a:lumOff val="25000"/>
                    </a:schemeClr>
                  </a:solidFill>
                  <a:latin typeface="+mn-lt"/>
                  <a:ea typeface="+mn-ea"/>
                  <a:cs typeface="+mn-cs"/>
                </a:defRPr>
              </a:pPr>
              <a:endParaRPr lang="en-US"/>
            </a:p>
          </c:txPr>
          <c:dLblPos val="inEnd"/>
          <c:showLegendKey val="0"/>
          <c:showVal val="0"/>
          <c:showCatName val="0"/>
          <c:showSerName val="1"/>
          <c:showPercent val="0"/>
          <c:showBubbleSize val="0"/>
          <c:extLst>
            <c:ext xmlns:c15="http://schemas.microsoft.com/office/drawing/2012/chart" uri="{CE6537A1-D6FC-4f65-9D91-7224C49458BB}"/>
          </c:extLst>
        </c:dLbl>
      </c:pivotFmt>
      <c:pivotFmt>
        <c:idx val="6"/>
        <c:spPr>
          <a:solidFill>
            <a:srgbClr val="C1FFC1"/>
          </a:solidFill>
          <a:ln>
            <a:noFill/>
          </a:ln>
          <a:effectLst/>
          <a:scene3d>
            <a:camera prst="orthographicFront"/>
            <a:lightRig rig="threePt" dir="t"/>
          </a:scene3d>
          <a:sp3d>
            <a:bevel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mn-lt"/>
                  <a:ea typeface="+mn-ea"/>
                  <a:cs typeface="+mn-cs"/>
                </a:defRPr>
              </a:pPr>
              <a:endParaRPr lang="en-US"/>
            </a:p>
          </c:txPr>
          <c:dLblPos val="inEnd"/>
          <c:showLegendKey val="0"/>
          <c:showVal val="0"/>
          <c:showCatName val="0"/>
          <c:showSerName val="1"/>
          <c:showPercent val="0"/>
          <c:showBubbleSize val="0"/>
          <c:extLst>
            <c:ext xmlns:c15="http://schemas.microsoft.com/office/drawing/2012/chart" uri="{CE6537A1-D6FC-4f65-9D91-7224C49458BB}"/>
          </c:extLst>
        </c:dLbl>
      </c:pivotFmt>
      <c:pivotFmt>
        <c:idx val="7"/>
        <c:spPr>
          <a:solidFill>
            <a:srgbClr val="FFFF66"/>
          </a:solidFill>
          <a:ln>
            <a:noFill/>
          </a:ln>
          <a:effectLst/>
          <a:scene3d>
            <a:camera prst="orthographicFront"/>
            <a:lightRig rig="threePt" dir="t"/>
          </a:scene3d>
          <a:sp3d>
            <a:bevel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mn-lt"/>
                  <a:ea typeface="+mn-ea"/>
                  <a:cs typeface="+mn-cs"/>
                </a:defRPr>
              </a:pPr>
              <a:endParaRPr lang="en-US"/>
            </a:p>
          </c:txPr>
          <c:dLblPos val="inEnd"/>
          <c:showLegendKey val="0"/>
          <c:showVal val="0"/>
          <c:showCatName val="0"/>
          <c:showSerName val="1"/>
          <c:showPercent val="0"/>
          <c:showBubbleSize val="0"/>
          <c:extLst>
            <c:ext xmlns:c15="http://schemas.microsoft.com/office/drawing/2012/chart" uri="{CE6537A1-D6FC-4f65-9D91-7224C49458BB}"/>
          </c:extLst>
        </c:dLbl>
      </c:pivotFmt>
      <c:pivotFmt>
        <c:idx val="8"/>
        <c:spPr>
          <a:solidFill>
            <a:srgbClr val="FFC267"/>
          </a:solidFill>
          <a:ln>
            <a:noFill/>
          </a:ln>
          <a:effectLst/>
          <a:scene3d>
            <a:camera prst="orthographicFront"/>
            <a:lightRig rig="threePt" dir="t"/>
          </a:scene3d>
          <a:sp3d>
            <a:bevel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mn-lt"/>
                  <a:ea typeface="+mn-ea"/>
                  <a:cs typeface="+mn-cs"/>
                </a:defRPr>
              </a:pPr>
              <a:endParaRPr lang="en-US"/>
            </a:p>
          </c:txPr>
          <c:dLblPos val="inEnd"/>
          <c:showLegendKey val="0"/>
          <c:showVal val="0"/>
          <c:showCatName val="0"/>
          <c:showSerName val="1"/>
          <c:showPercent val="0"/>
          <c:showBubbleSize val="0"/>
          <c:extLst>
            <c:ext xmlns:c15="http://schemas.microsoft.com/office/drawing/2012/chart" uri="{CE6537A1-D6FC-4f65-9D91-7224C49458BB}"/>
          </c:extLst>
        </c:dLbl>
      </c:pivotFmt>
      <c:pivotFmt>
        <c:idx val="9"/>
        <c:spPr>
          <a:solidFill>
            <a:srgbClr val="FF7D67"/>
          </a:solidFill>
          <a:ln>
            <a:noFill/>
          </a:ln>
          <a:effectLst/>
          <a:scene3d>
            <a:camera prst="orthographicFront"/>
            <a:lightRig rig="threePt" dir="t"/>
          </a:scene3d>
          <a:sp3d>
            <a:bevel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mn-lt"/>
                  <a:ea typeface="+mn-ea"/>
                  <a:cs typeface="+mn-cs"/>
                </a:defRPr>
              </a:pPr>
              <a:endParaRPr lang="en-US"/>
            </a:p>
          </c:txPr>
          <c:dLblPos val="inEnd"/>
          <c:showLegendKey val="0"/>
          <c:showVal val="0"/>
          <c:showCatName val="0"/>
          <c:showSerName val="1"/>
          <c:showPercent val="0"/>
          <c:showBubbleSize val="0"/>
          <c:extLst>
            <c:ext xmlns:c15="http://schemas.microsoft.com/office/drawing/2012/chart" uri="{CE6537A1-D6FC-4f65-9D91-7224C49458BB}"/>
          </c:extLst>
        </c:dLbl>
      </c:pivotFmt>
      <c:pivotFmt>
        <c:idx val="10"/>
        <c:spPr>
          <a:solidFill>
            <a:srgbClr val="7DB17A"/>
          </a:solidFill>
          <a:ln>
            <a:noFill/>
          </a:ln>
          <a:effectLst>
            <a:softEdge rad="50800"/>
          </a:effectLst>
          <a:scene3d>
            <a:camera prst="orthographicFront"/>
            <a:lightRig rig="threePt" dir="t"/>
          </a:scene3d>
          <a:sp3d>
            <a:bevelT/>
          </a:sp3d>
        </c:spPr>
      </c:pivotFmt>
      <c:pivotFmt>
        <c:idx val="11"/>
        <c:spPr>
          <a:solidFill>
            <a:srgbClr val="7DB17A"/>
          </a:solidFill>
          <a:ln>
            <a:noFill/>
          </a:ln>
          <a:effectLst>
            <a:softEdge rad="50800"/>
          </a:effectLst>
          <a:scene3d>
            <a:camera prst="orthographicFront"/>
            <a:lightRig rig="threePt" dir="t"/>
          </a:scene3d>
          <a:sp3d>
            <a:bevelT/>
          </a:sp3d>
        </c:spPr>
      </c:pivotFmt>
      <c:pivotFmt>
        <c:idx val="12"/>
        <c:spPr>
          <a:solidFill>
            <a:srgbClr val="7DB17A"/>
          </a:solidFill>
          <a:ln>
            <a:noFill/>
          </a:ln>
          <a:effectLst>
            <a:softEdge rad="50800"/>
          </a:effectLst>
          <a:scene3d>
            <a:camera prst="orthographicFront"/>
            <a:lightRig rig="threePt" dir="t"/>
          </a:scene3d>
          <a:sp3d>
            <a:bevelT/>
          </a:sp3d>
        </c:spPr>
      </c:pivotFmt>
      <c:pivotFmt>
        <c:idx val="13"/>
        <c:spPr>
          <a:solidFill>
            <a:srgbClr val="7DB17A"/>
          </a:solidFill>
          <a:ln>
            <a:noFill/>
          </a:ln>
          <a:effectLst>
            <a:softEdge rad="50800"/>
          </a:effectLst>
          <a:scene3d>
            <a:camera prst="orthographicFront"/>
            <a:lightRig rig="threePt" dir="t"/>
          </a:scene3d>
          <a:sp3d>
            <a:bevelT/>
          </a:sp3d>
        </c:spPr>
      </c:pivotFmt>
      <c:pivotFmt>
        <c:idx val="14"/>
        <c:spPr>
          <a:solidFill>
            <a:srgbClr val="7DB17A"/>
          </a:solidFill>
          <a:ln>
            <a:noFill/>
          </a:ln>
          <a:effectLst>
            <a:softEdge rad="50800"/>
          </a:effectLst>
          <a:scene3d>
            <a:camera prst="orthographicFront"/>
            <a:lightRig rig="threePt" dir="t"/>
          </a:scene3d>
          <a:sp3d>
            <a:bevelT/>
          </a:sp3d>
        </c:spPr>
      </c:pivotFmt>
      <c:pivotFmt>
        <c:idx val="15"/>
        <c:spPr>
          <a:solidFill>
            <a:srgbClr val="7DB17A"/>
          </a:solidFill>
          <a:ln>
            <a:noFill/>
          </a:ln>
          <a:effectLst>
            <a:softEdge rad="50800"/>
          </a:effectLst>
          <a:scene3d>
            <a:camera prst="orthographicFront"/>
            <a:lightRig rig="threePt" dir="t"/>
          </a:scene3d>
          <a:sp3d>
            <a:bevelT/>
          </a:sp3d>
        </c:spPr>
      </c:pivotFmt>
      <c:pivotFmt>
        <c:idx val="16"/>
        <c:spPr>
          <a:solidFill>
            <a:srgbClr val="7DB17A"/>
          </a:solidFill>
          <a:ln>
            <a:noFill/>
          </a:ln>
          <a:effectLst>
            <a:outerShdw blurRad="50800" dist="38100" dir="2700000" algn="tl" rotWithShape="0">
              <a:prstClr val="black">
                <a:alpha val="40000"/>
              </a:prstClr>
            </a:outerShdw>
          </a:effectLst>
          <a:scene3d>
            <a:camera prst="orthographicFront"/>
            <a:lightRig rig="threePt" dir="t"/>
          </a:scene3d>
          <a:sp3d>
            <a:bevelT h="19050"/>
          </a:sp3d>
        </c:spPr>
        <c:marker>
          <c:symbol val="none"/>
        </c:marker>
        <c:dLbl>
          <c:idx val="0"/>
          <c:spPr>
            <a:noFill/>
            <a:ln>
              <a:noFill/>
            </a:ln>
            <a:effectLst/>
          </c:spPr>
          <c:txPr>
            <a:bodyPr rot="0" spcFirstLastPara="1" vertOverflow="overflow" horzOverflow="overflow" vert="horz" wrap="square" lIns="38100" tIns="19050" rIns="38100" bIns="19050" anchor="t" anchorCtr="1">
              <a:spAutoFit/>
            </a:bodyPr>
            <a:lstStyle/>
            <a:p>
              <a:pPr>
                <a:defRPr sz="1400" b="1" i="0" u="none" strike="noStrike" kern="1200" baseline="0">
                  <a:ln>
                    <a:noFill/>
                  </a:ln>
                  <a:solidFill>
                    <a:schemeClr val="tx1">
                      <a:lumMod val="75000"/>
                      <a:lumOff val="25000"/>
                    </a:schemeClr>
                  </a:solidFill>
                  <a:latin typeface="+mn-lt"/>
                  <a:ea typeface="+mn-ea"/>
                  <a:cs typeface="+mn-cs"/>
                </a:defRPr>
              </a:pPr>
              <a:endParaRPr lang="en-US"/>
            </a:p>
          </c:txPr>
          <c:dLblPos val="inEnd"/>
          <c:showLegendKey val="0"/>
          <c:showVal val="0"/>
          <c:showCatName val="0"/>
          <c:showSerName val="1"/>
          <c:showPercent val="0"/>
          <c:showBubbleSize val="0"/>
          <c:extLst>
            <c:ext xmlns:c15="http://schemas.microsoft.com/office/drawing/2012/chart" uri="{CE6537A1-D6FC-4f65-9D91-7224C49458BB}"/>
          </c:extLst>
        </c:dLbl>
      </c:pivotFmt>
      <c:pivotFmt>
        <c:idx val="17"/>
        <c:spPr>
          <a:solidFill>
            <a:srgbClr val="C1FFC1"/>
          </a:solidFill>
          <a:ln>
            <a:noFill/>
          </a:ln>
          <a:effectLst>
            <a:outerShdw blurRad="50800" dist="38100" dir="2700000" algn="tl" rotWithShape="0">
              <a:prstClr val="black">
                <a:alpha val="40000"/>
              </a:prstClr>
            </a:outerShdw>
          </a:effectLst>
          <a:scene3d>
            <a:camera prst="orthographicFront"/>
            <a:lightRig rig="threePt" dir="t"/>
          </a:scene3d>
          <a:sp3d>
            <a:bevelT h="1905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mn-lt"/>
                  <a:ea typeface="+mn-ea"/>
                  <a:cs typeface="+mn-cs"/>
                </a:defRPr>
              </a:pPr>
              <a:endParaRPr lang="en-US"/>
            </a:p>
          </c:txPr>
          <c:dLblPos val="inEnd"/>
          <c:showLegendKey val="0"/>
          <c:showVal val="0"/>
          <c:showCatName val="0"/>
          <c:showSerName val="1"/>
          <c:showPercent val="0"/>
          <c:showBubbleSize val="0"/>
          <c:extLst>
            <c:ext xmlns:c15="http://schemas.microsoft.com/office/drawing/2012/chart" uri="{CE6537A1-D6FC-4f65-9D91-7224C49458BB}"/>
          </c:extLst>
        </c:dLbl>
      </c:pivotFmt>
      <c:pivotFmt>
        <c:idx val="18"/>
        <c:spPr>
          <a:solidFill>
            <a:srgbClr val="FFFF66"/>
          </a:solidFill>
          <a:ln>
            <a:noFill/>
          </a:ln>
          <a:effectLst>
            <a:outerShdw blurRad="50800" dist="38100" dir="2700000" algn="tl" rotWithShape="0">
              <a:prstClr val="black">
                <a:alpha val="40000"/>
              </a:prstClr>
            </a:outerShdw>
          </a:effectLst>
          <a:scene3d>
            <a:camera prst="orthographicFront"/>
            <a:lightRig rig="threePt" dir="t"/>
          </a:scene3d>
          <a:sp3d>
            <a:bevelT h="1905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mn-lt"/>
                  <a:ea typeface="+mn-ea"/>
                  <a:cs typeface="+mn-cs"/>
                </a:defRPr>
              </a:pPr>
              <a:endParaRPr lang="en-US"/>
            </a:p>
          </c:txPr>
          <c:dLblPos val="inEnd"/>
          <c:showLegendKey val="0"/>
          <c:showVal val="0"/>
          <c:showCatName val="0"/>
          <c:showSerName val="1"/>
          <c:showPercent val="0"/>
          <c:showBubbleSize val="0"/>
          <c:extLst>
            <c:ext xmlns:c15="http://schemas.microsoft.com/office/drawing/2012/chart" uri="{CE6537A1-D6FC-4f65-9D91-7224C49458BB}"/>
          </c:extLst>
        </c:dLbl>
      </c:pivotFmt>
      <c:pivotFmt>
        <c:idx val="19"/>
        <c:spPr>
          <a:solidFill>
            <a:srgbClr val="FFC267"/>
          </a:solidFill>
          <a:ln>
            <a:noFill/>
          </a:ln>
          <a:effectLst>
            <a:outerShdw blurRad="50800" dist="38100" dir="2700000" algn="tl" rotWithShape="0">
              <a:prstClr val="black">
                <a:alpha val="40000"/>
              </a:prstClr>
            </a:outerShdw>
          </a:effectLst>
          <a:scene3d>
            <a:camera prst="orthographicFront"/>
            <a:lightRig rig="threePt" dir="t"/>
          </a:scene3d>
          <a:sp3d>
            <a:bevelT h="1905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mn-lt"/>
                  <a:ea typeface="+mn-ea"/>
                  <a:cs typeface="+mn-cs"/>
                </a:defRPr>
              </a:pPr>
              <a:endParaRPr lang="en-US"/>
            </a:p>
          </c:txPr>
          <c:dLblPos val="inEnd"/>
          <c:showLegendKey val="0"/>
          <c:showVal val="0"/>
          <c:showCatName val="0"/>
          <c:showSerName val="1"/>
          <c:showPercent val="0"/>
          <c:showBubbleSize val="0"/>
          <c:extLst>
            <c:ext xmlns:c15="http://schemas.microsoft.com/office/drawing/2012/chart" uri="{CE6537A1-D6FC-4f65-9D91-7224C49458BB}"/>
          </c:extLst>
        </c:dLbl>
      </c:pivotFmt>
      <c:pivotFmt>
        <c:idx val="20"/>
        <c:spPr>
          <a:solidFill>
            <a:srgbClr val="FF7D67"/>
          </a:solidFill>
          <a:ln>
            <a:noFill/>
          </a:ln>
          <a:effectLst>
            <a:outerShdw blurRad="50800" dist="38100" dir="2700000" algn="tl" rotWithShape="0">
              <a:prstClr val="black">
                <a:alpha val="40000"/>
              </a:prstClr>
            </a:outerShdw>
          </a:effectLst>
          <a:scene3d>
            <a:camera prst="orthographicFront"/>
            <a:lightRig rig="threePt" dir="t"/>
          </a:scene3d>
          <a:sp3d>
            <a:bevelT h="1905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mn-lt"/>
                  <a:ea typeface="+mn-ea"/>
                  <a:cs typeface="+mn-cs"/>
                </a:defRPr>
              </a:pPr>
              <a:endParaRPr lang="en-US"/>
            </a:p>
          </c:txPr>
          <c:dLblPos val="inEnd"/>
          <c:showLegendKey val="0"/>
          <c:showVal val="0"/>
          <c:showCatName val="0"/>
          <c:showSerName val="1"/>
          <c:showPercent val="0"/>
          <c:showBubbleSize val="0"/>
          <c:extLst>
            <c:ext xmlns:c15="http://schemas.microsoft.com/office/drawing/2012/chart" uri="{CE6537A1-D6FC-4f65-9D91-7224C49458BB}"/>
          </c:extLst>
        </c:dLbl>
      </c:pivotFmt>
      <c:pivotFmt>
        <c:idx val="21"/>
        <c:spPr>
          <a:solidFill>
            <a:srgbClr val="7DB17A"/>
          </a:solidFill>
          <a:ln>
            <a:noFill/>
          </a:ln>
          <a:effectLst>
            <a:outerShdw blurRad="50800" dist="38100" dir="2700000" algn="tl" rotWithShape="0">
              <a:prstClr val="black">
                <a:alpha val="40000"/>
              </a:prstClr>
            </a:outerShdw>
          </a:effectLst>
          <a:scene3d>
            <a:camera prst="orthographicFront"/>
            <a:lightRig rig="threePt" dir="t"/>
          </a:scene3d>
          <a:sp3d>
            <a:bevelT h="19050"/>
          </a:sp3d>
        </c:spPr>
        <c:marker>
          <c:symbol val="none"/>
        </c:marker>
        <c:dLbl>
          <c:idx val="0"/>
          <c:spPr>
            <a:noFill/>
            <a:ln>
              <a:noFill/>
            </a:ln>
            <a:effectLst/>
          </c:spPr>
          <c:txPr>
            <a:bodyPr rot="0" spcFirstLastPara="1" vertOverflow="overflow" horzOverflow="overflow" vert="horz" wrap="square" lIns="38100" tIns="19050" rIns="38100" bIns="19050" anchor="t" anchorCtr="1">
              <a:spAutoFit/>
            </a:bodyPr>
            <a:lstStyle/>
            <a:p>
              <a:pPr>
                <a:defRPr sz="1400" b="1" i="0" u="none" strike="noStrike" kern="1200" baseline="0">
                  <a:ln>
                    <a:noFill/>
                  </a:ln>
                  <a:solidFill>
                    <a:schemeClr val="tx1">
                      <a:lumMod val="75000"/>
                      <a:lumOff val="25000"/>
                    </a:schemeClr>
                  </a:solidFill>
                  <a:latin typeface="+mn-lt"/>
                  <a:ea typeface="+mn-ea"/>
                  <a:cs typeface="+mn-cs"/>
                </a:defRPr>
              </a:pPr>
              <a:endParaRPr lang="en-US"/>
            </a:p>
          </c:txPr>
          <c:dLblPos val="inEnd"/>
          <c:showLegendKey val="0"/>
          <c:showVal val="0"/>
          <c:showCatName val="0"/>
          <c:showSerName val="1"/>
          <c:showPercent val="0"/>
          <c:showBubbleSize val="0"/>
          <c:extLst>
            <c:ext xmlns:c15="http://schemas.microsoft.com/office/drawing/2012/chart" uri="{CE6537A1-D6FC-4f65-9D91-7224C49458BB}"/>
          </c:extLst>
        </c:dLbl>
      </c:pivotFmt>
      <c:pivotFmt>
        <c:idx val="22"/>
        <c:spPr>
          <a:solidFill>
            <a:srgbClr val="C1FFC1"/>
          </a:solidFill>
          <a:ln>
            <a:noFill/>
          </a:ln>
          <a:effectLst>
            <a:outerShdw blurRad="50800" dist="38100" dir="2700000" algn="tl" rotWithShape="0">
              <a:prstClr val="black">
                <a:alpha val="40000"/>
              </a:prstClr>
            </a:outerShdw>
          </a:effectLst>
          <a:scene3d>
            <a:camera prst="orthographicFront"/>
            <a:lightRig rig="threePt" dir="t"/>
          </a:scene3d>
          <a:sp3d>
            <a:bevelT h="1905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mn-lt"/>
                  <a:ea typeface="+mn-ea"/>
                  <a:cs typeface="+mn-cs"/>
                </a:defRPr>
              </a:pPr>
              <a:endParaRPr lang="en-US"/>
            </a:p>
          </c:txPr>
          <c:dLblPos val="inEnd"/>
          <c:showLegendKey val="0"/>
          <c:showVal val="0"/>
          <c:showCatName val="0"/>
          <c:showSerName val="1"/>
          <c:showPercent val="0"/>
          <c:showBubbleSize val="0"/>
          <c:extLst>
            <c:ext xmlns:c15="http://schemas.microsoft.com/office/drawing/2012/chart" uri="{CE6537A1-D6FC-4f65-9D91-7224C49458BB}"/>
          </c:extLst>
        </c:dLbl>
      </c:pivotFmt>
      <c:pivotFmt>
        <c:idx val="23"/>
        <c:spPr>
          <a:solidFill>
            <a:srgbClr val="FFFF66"/>
          </a:solidFill>
          <a:ln>
            <a:noFill/>
          </a:ln>
          <a:effectLst>
            <a:outerShdw blurRad="50800" dist="38100" dir="2700000" algn="tl" rotWithShape="0">
              <a:prstClr val="black">
                <a:alpha val="40000"/>
              </a:prstClr>
            </a:outerShdw>
          </a:effectLst>
          <a:scene3d>
            <a:camera prst="orthographicFront"/>
            <a:lightRig rig="threePt" dir="t"/>
          </a:scene3d>
          <a:sp3d>
            <a:bevelT h="1905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mn-lt"/>
                  <a:ea typeface="+mn-ea"/>
                  <a:cs typeface="+mn-cs"/>
                </a:defRPr>
              </a:pPr>
              <a:endParaRPr lang="en-US"/>
            </a:p>
          </c:txPr>
          <c:dLblPos val="inEnd"/>
          <c:showLegendKey val="0"/>
          <c:showVal val="0"/>
          <c:showCatName val="0"/>
          <c:showSerName val="1"/>
          <c:showPercent val="0"/>
          <c:showBubbleSize val="0"/>
          <c:extLst>
            <c:ext xmlns:c15="http://schemas.microsoft.com/office/drawing/2012/chart" uri="{CE6537A1-D6FC-4f65-9D91-7224C49458BB}"/>
          </c:extLst>
        </c:dLbl>
      </c:pivotFmt>
      <c:pivotFmt>
        <c:idx val="24"/>
        <c:spPr>
          <a:solidFill>
            <a:srgbClr val="FFC267"/>
          </a:solidFill>
          <a:ln>
            <a:noFill/>
          </a:ln>
          <a:effectLst>
            <a:outerShdw blurRad="50800" dist="38100" dir="2700000" algn="tl" rotWithShape="0">
              <a:prstClr val="black">
                <a:alpha val="40000"/>
              </a:prstClr>
            </a:outerShdw>
          </a:effectLst>
          <a:scene3d>
            <a:camera prst="orthographicFront"/>
            <a:lightRig rig="threePt" dir="t"/>
          </a:scene3d>
          <a:sp3d>
            <a:bevelT h="1905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mn-lt"/>
                  <a:ea typeface="+mn-ea"/>
                  <a:cs typeface="+mn-cs"/>
                </a:defRPr>
              </a:pPr>
              <a:endParaRPr lang="en-US"/>
            </a:p>
          </c:txPr>
          <c:dLblPos val="inEnd"/>
          <c:showLegendKey val="0"/>
          <c:showVal val="0"/>
          <c:showCatName val="0"/>
          <c:showSerName val="1"/>
          <c:showPercent val="0"/>
          <c:showBubbleSize val="0"/>
          <c:extLst>
            <c:ext xmlns:c15="http://schemas.microsoft.com/office/drawing/2012/chart" uri="{CE6537A1-D6FC-4f65-9D91-7224C49458BB}"/>
          </c:extLst>
        </c:dLbl>
      </c:pivotFmt>
      <c:pivotFmt>
        <c:idx val="25"/>
        <c:spPr>
          <a:solidFill>
            <a:srgbClr val="FF7D67"/>
          </a:solidFill>
          <a:ln>
            <a:noFill/>
          </a:ln>
          <a:effectLst>
            <a:outerShdw blurRad="50800" dist="38100" dir="2700000" algn="tl" rotWithShape="0">
              <a:prstClr val="black">
                <a:alpha val="40000"/>
              </a:prstClr>
            </a:outerShdw>
          </a:effectLst>
          <a:scene3d>
            <a:camera prst="orthographicFront"/>
            <a:lightRig rig="threePt" dir="t"/>
          </a:scene3d>
          <a:sp3d>
            <a:bevelT h="1905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mn-lt"/>
                  <a:ea typeface="+mn-ea"/>
                  <a:cs typeface="+mn-cs"/>
                </a:defRPr>
              </a:pPr>
              <a:endParaRPr lang="en-US"/>
            </a:p>
          </c:txPr>
          <c:dLblPos val="inEnd"/>
          <c:showLegendKey val="0"/>
          <c:showVal val="0"/>
          <c:showCatName val="0"/>
          <c:showSerName val="1"/>
          <c:showPercent val="0"/>
          <c:showBubbleSize val="0"/>
          <c:extLst>
            <c:ext xmlns:c15="http://schemas.microsoft.com/office/drawing/2012/chart" uri="{CE6537A1-D6FC-4f65-9D91-7224C49458BB}"/>
          </c:extLst>
        </c:dLbl>
      </c:pivotFmt>
      <c:pivotFmt>
        <c:idx val="26"/>
        <c:spPr>
          <a:solidFill>
            <a:srgbClr val="7DB17A"/>
          </a:solidFill>
          <a:ln>
            <a:noFill/>
          </a:ln>
          <a:effectLst>
            <a:outerShdw blurRad="50800" dist="38100" dir="2700000" algn="tl" rotWithShape="0">
              <a:prstClr val="black">
                <a:alpha val="40000"/>
              </a:prstClr>
            </a:outerShdw>
          </a:effectLst>
          <a:scene3d>
            <a:camera prst="orthographicFront"/>
            <a:lightRig rig="threePt" dir="t"/>
          </a:scene3d>
          <a:sp3d>
            <a:bevelT h="19050"/>
          </a:sp3d>
        </c:spPr>
        <c:marker>
          <c:symbol val="none"/>
        </c:marker>
        <c:dLbl>
          <c:idx val="0"/>
          <c:spPr>
            <a:noFill/>
            <a:ln>
              <a:noFill/>
            </a:ln>
            <a:effectLst/>
          </c:spPr>
          <c:txPr>
            <a:bodyPr rot="0" spcFirstLastPara="1" vertOverflow="overflow" horzOverflow="overflow" vert="horz" wrap="square" lIns="38100" tIns="19050" rIns="38100" bIns="19050" anchor="t" anchorCtr="1">
              <a:spAutoFit/>
            </a:bodyPr>
            <a:lstStyle/>
            <a:p>
              <a:pPr>
                <a:defRPr sz="1400" b="1" i="0" u="none" strike="noStrike" kern="1200" baseline="0">
                  <a:ln>
                    <a:noFill/>
                  </a:ln>
                  <a:solidFill>
                    <a:schemeClr val="tx1">
                      <a:lumMod val="75000"/>
                      <a:lumOff val="25000"/>
                    </a:schemeClr>
                  </a:solidFill>
                  <a:latin typeface="+mn-lt"/>
                  <a:ea typeface="+mn-ea"/>
                  <a:cs typeface="+mn-cs"/>
                </a:defRPr>
              </a:pPr>
              <a:endParaRPr lang="en-US"/>
            </a:p>
          </c:txPr>
          <c:dLblPos val="inEnd"/>
          <c:showLegendKey val="0"/>
          <c:showVal val="0"/>
          <c:showCatName val="0"/>
          <c:showSerName val="1"/>
          <c:showPercent val="0"/>
          <c:showBubbleSize val="0"/>
          <c:extLst>
            <c:ext xmlns:c15="http://schemas.microsoft.com/office/drawing/2012/chart" uri="{CE6537A1-D6FC-4f65-9D91-7224C49458BB}"/>
          </c:extLst>
        </c:dLbl>
      </c:pivotFmt>
      <c:pivotFmt>
        <c:idx val="27"/>
        <c:spPr>
          <a:solidFill>
            <a:srgbClr val="C1FFC1"/>
          </a:solidFill>
          <a:ln>
            <a:noFill/>
          </a:ln>
          <a:effectLst>
            <a:outerShdw blurRad="50800" dist="38100" dir="2700000" algn="tl" rotWithShape="0">
              <a:prstClr val="black">
                <a:alpha val="40000"/>
              </a:prstClr>
            </a:outerShdw>
          </a:effectLst>
          <a:scene3d>
            <a:camera prst="orthographicFront"/>
            <a:lightRig rig="threePt" dir="t"/>
          </a:scene3d>
          <a:sp3d>
            <a:bevelT h="1905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mn-lt"/>
                  <a:ea typeface="+mn-ea"/>
                  <a:cs typeface="+mn-cs"/>
                </a:defRPr>
              </a:pPr>
              <a:endParaRPr lang="en-US"/>
            </a:p>
          </c:txPr>
          <c:dLblPos val="inEnd"/>
          <c:showLegendKey val="0"/>
          <c:showVal val="0"/>
          <c:showCatName val="0"/>
          <c:showSerName val="1"/>
          <c:showPercent val="0"/>
          <c:showBubbleSize val="0"/>
          <c:extLst>
            <c:ext xmlns:c15="http://schemas.microsoft.com/office/drawing/2012/chart" uri="{CE6537A1-D6FC-4f65-9D91-7224C49458BB}"/>
          </c:extLst>
        </c:dLbl>
      </c:pivotFmt>
      <c:pivotFmt>
        <c:idx val="28"/>
        <c:spPr>
          <a:solidFill>
            <a:srgbClr val="FFFF66"/>
          </a:solidFill>
          <a:ln>
            <a:noFill/>
          </a:ln>
          <a:effectLst>
            <a:outerShdw blurRad="50800" dist="38100" dir="2700000" algn="tl" rotWithShape="0">
              <a:prstClr val="black">
                <a:alpha val="40000"/>
              </a:prstClr>
            </a:outerShdw>
          </a:effectLst>
          <a:scene3d>
            <a:camera prst="orthographicFront"/>
            <a:lightRig rig="threePt" dir="t"/>
          </a:scene3d>
          <a:sp3d>
            <a:bevelT h="1905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mn-lt"/>
                  <a:ea typeface="+mn-ea"/>
                  <a:cs typeface="+mn-cs"/>
                </a:defRPr>
              </a:pPr>
              <a:endParaRPr lang="en-US"/>
            </a:p>
          </c:txPr>
          <c:dLblPos val="inEnd"/>
          <c:showLegendKey val="0"/>
          <c:showVal val="0"/>
          <c:showCatName val="0"/>
          <c:showSerName val="1"/>
          <c:showPercent val="0"/>
          <c:showBubbleSize val="0"/>
          <c:extLst>
            <c:ext xmlns:c15="http://schemas.microsoft.com/office/drawing/2012/chart" uri="{CE6537A1-D6FC-4f65-9D91-7224C49458BB}"/>
          </c:extLst>
        </c:dLbl>
      </c:pivotFmt>
      <c:pivotFmt>
        <c:idx val="29"/>
        <c:spPr>
          <a:solidFill>
            <a:srgbClr val="FFC267"/>
          </a:solidFill>
          <a:ln>
            <a:noFill/>
          </a:ln>
          <a:effectLst>
            <a:outerShdw blurRad="50800" dist="38100" dir="2700000" algn="tl" rotWithShape="0">
              <a:prstClr val="black">
                <a:alpha val="40000"/>
              </a:prstClr>
            </a:outerShdw>
          </a:effectLst>
          <a:scene3d>
            <a:camera prst="orthographicFront"/>
            <a:lightRig rig="threePt" dir="t"/>
          </a:scene3d>
          <a:sp3d>
            <a:bevelT h="1905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mn-lt"/>
                  <a:ea typeface="+mn-ea"/>
                  <a:cs typeface="+mn-cs"/>
                </a:defRPr>
              </a:pPr>
              <a:endParaRPr lang="en-US"/>
            </a:p>
          </c:txPr>
          <c:dLblPos val="inEnd"/>
          <c:showLegendKey val="0"/>
          <c:showVal val="0"/>
          <c:showCatName val="0"/>
          <c:showSerName val="1"/>
          <c:showPercent val="0"/>
          <c:showBubbleSize val="0"/>
          <c:extLst>
            <c:ext xmlns:c15="http://schemas.microsoft.com/office/drawing/2012/chart" uri="{CE6537A1-D6FC-4f65-9D91-7224C49458BB}"/>
          </c:extLst>
        </c:dLbl>
      </c:pivotFmt>
      <c:pivotFmt>
        <c:idx val="30"/>
        <c:spPr>
          <a:solidFill>
            <a:srgbClr val="FF7D67"/>
          </a:solidFill>
          <a:ln>
            <a:noFill/>
          </a:ln>
          <a:effectLst>
            <a:outerShdw blurRad="50800" dist="38100" dir="2700000" algn="tl" rotWithShape="0">
              <a:prstClr val="black">
                <a:alpha val="40000"/>
              </a:prstClr>
            </a:outerShdw>
          </a:effectLst>
          <a:scene3d>
            <a:camera prst="orthographicFront"/>
            <a:lightRig rig="threePt" dir="t"/>
          </a:scene3d>
          <a:sp3d>
            <a:bevelT h="1905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mn-lt"/>
                  <a:ea typeface="+mn-ea"/>
                  <a:cs typeface="+mn-cs"/>
                </a:defRPr>
              </a:pPr>
              <a:endParaRPr lang="en-US"/>
            </a:p>
          </c:txPr>
          <c:dLblPos val="inEnd"/>
          <c:showLegendKey val="0"/>
          <c:showVal val="0"/>
          <c:showCatName val="0"/>
          <c:showSerName val="1"/>
          <c:showPercent val="0"/>
          <c:showBubbleSize val="0"/>
          <c:extLst>
            <c:ext xmlns:c15="http://schemas.microsoft.com/office/drawing/2012/chart" uri="{CE6537A1-D6FC-4f65-9D91-7224C49458BB}"/>
          </c:extLst>
        </c:dLbl>
      </c:pivotFmt>
    </c:pivotFmts>
    <c:plotArea>
      <c:layout>
        <c:manualLayout>
          <c:layoutTarget val="inner"/>
          <c:xMode val="edge"/>
          <c:yMode val="edge"/>
          <c:x val="8.0586034099948606E-2"/>
          <c:y val="8.6113691481074089E-2"/>
          <c:w val="0.83882793180010284"/>
          <c:h val="0.81421747212368778"/>
        </c:manualLayout>
      </c:layout>
      <c:barChart>
        <c:barDir val="col"/>
        <c:grouping val="percentStacked"/>
        <c:varyColors val="0"/>
        <c:ser>
          <c:idx val="0"/>
          <c:order val="0"/>
          <c:spPr>
            <a:solidFill>
              <a:srgbClr val="7DB17A"/>
            </a:solidFill>
            <a:ln>
              <a:noFill/>
            </a:ln>
            <a:effectLst>
              <a:outerShdw blurRad="50800" dist="38100" dir="2700000" algn="tl" rotWithShape="0">
                <a:prstClr val="black">
                  <a:alpha val="40000"/>
                </a:prstClr>
              </a:outerShdw>
            </a:effectLst>
            <a:scene3d>
              <a:camera prst="orthographicFront"/>
              <a:lightRig rig="threePt" dir="t"/>
            </a:scene3d>
            <a:sp3d>
              <a:bevelT h="19050"/>
            </a:sp3d>
          </c:spPr>
          <c:invertIfNegative val="0"/>
          <c:dLbls>
            <c:dLbl>
              <c:idx val="0"/>
              <c:tx>
                <c:rich>
                  <a:bodyPr/>
                  <a:lstStyle/>
                  <a:p>
                    <a:r>
                      <a:rPr lang="en-US"/>
                      <a:t>Yes</a:t>
                    </a:r>
                    <a:r>
                      <a:rPr lang="en-US" baseline="0"/>
                      <a:t>
</a:t>
                    </a:r>
                    <a:fld id="{8F09BF7F-FDFB-4A7B-9BE3-BD96D79A5E53}" type="VALUE">
                      <a:rPr lang="en-US" baseline="0"/>
                      <a:pPr/>
                      <a:t>[VALUE]</a:t>
                    </a:fld>
                    <a:endParaRPr lang="en-US" baseline="0"/>
                  </a:p>
                </c:rich>
              </c:tx>
              <c:dLblPos val="inEnd"/>
              <c:showLegendKey val="0"/>
              <c:showVal val="1"/>
              <c:showCatName val="0"/>
              <c:showSerName val="1"/>
              <c:showPercent val="0"/>
              <c:showBubbleSize val="0"/>
              <c:separator>
</c:separator>
              <c:extLst>
                <c:ext xmlns:c15="http://schemas.microsoft.com/office/drawing/2012/chart" uri="{CE6537A1-D6FC-4f65-9D91-7224C49458BB}">
                  <c15:layout>
                    <c:manualLayout>
                      <c:w val="0.22306122448979593"/>
                      <c:h val="0.18272727272727268"/>
                    </c:manualLayout>
                  </c15:layout>
                  <c15:dlblFieldTable/>
                  <c15:showDataLabelsRange val="0"/>
                </c:ext>
                <c:ext xmlns:c16="http://schemas.microsoft.com/office/drawing/2014/chart" uri="{C3380CC4-5D6E-409C-BE32-E72D297353CC}">
                  <c16:uniqueId val="{00000000-A28E-4A4C-B959-2549B17E802E}"/>
                </c:ext>
              </c:extLst>
            </c:dLbl>
            <c:dLbl>
              <c:idx val="1"/>
              <c:tx>
                <c:rich>
                  <a:bodyPr/>
                  <a:lstStyle/>
                  <a:p>
                    <a:r>
                      <a:rPr lang="en-US"/>
                      <a:t>Yes</a:t>
                    </a:r>
                    <a:r>
                      <a:rPr lang="en-US" baseline="0"/>
                      <a:t>
</a:t>
                    </a:r>
                    <a:fld id="{4A0561A5-EBA9-471D-8F83-D212E22FF7D6}" type="VALUE">
                      <a:rPr lang="en-US" baseline="0"/>
                      <a:pPr/>
                      <a:t>[VALUE]</a:t>
                    </a:fld>
                    <a:endParaRPr lang="en-US" baseline="0"/>
                  </a:p>
                </c:rich>
              </c:tx>
              <c:dLblPos val="inEnd"/>
              <c:showLegendKey val="0"/>
              <c:showVal val="1"/>
              <c:showCatName val="0"/>
              <c:showSerName val="1"/>
              <c:showPercent val="0"/>
              <c:showBubbleSize val="0"/>
              <c:separator>
</c:separator>
              <c:extLst>
                <c:ext xmlns:c15="http://schemas.microsoft.com/office/drawing/2012/chart" uri="{CE6537A1-D6FC-4f65-9D91-7224C49458BB}">
                  <c15:layout>
                    <c:manualLayout>
                      <c:w val="0.24346938775510205"/>
                      <c:h val="0.18272727272727268"/>
                    </c:manualLayout>
                  </c15:layout>
                  <c15:dlblFieldTable/>
                  <c15:showDataLabelsRange val="0"/>
                </c:ext>
                <c:ext xmlns:c16="http://schemas.microsoft.com/office/drawing/2014/chart" uri="{C3380CC4-5D6E-409C-BE32-E72D297353CC}">
                  <c16:uniqueId val="{00000001-A28E-4A4C-B959-2549B17E802E}"/>
                </c:ext>
              </c:extLst>
            </c:dLbl>
            <c:spPr>
              <a:noFill/>
              <a:ln>
                <a:noFill/>
              </a:ln>
              <a:effectLst/>
            </c:spPr>
            <c:txPr>
              <a:bodyPr rot="0" spcFirstLastPara="1" vertOverflow="overflow" horzOverflow="overflow" vert="horz" wrap="square" lIns="38100" tIns="19050" rIns="38100" bIns="19050" anchor="t" anchorCtr="1">
                <a:spAutoFit/>
              </a:bodyPr>
              <a:lstStyle/>
              <a:p>
                <a:pPr>
                  <a:defRPr sz="1400" b="1" i="0" u="none" strike="noStrike" kern="1200" baseline="0">
                    <a:ln>
                      <a:noFill/>
                    </a:ln>
                    <a:solidFill>
                      <a:schemeClr val="tx1">
                        <a:lumMod val="75000"/>
                        <a:lumOff val="25000"/>
                      </a:schemeClr>
                    </a:solidFill>
                    <a:latin typeface="+mn-lt"/>
                    <a:ea typeface="+mn-ea"/>
                    <a:cs typeface="+mn-cs"/>
                  </a:defRPr>
                </a:pPr>
                <a:endParaRPr lang="en-US"/>
              </a:p>
            </c:txPr>
            <c:dLblPos val="inEnd"/>
            <c:showLegendKey val="0"/>
            <c:showVal val="1"/>
            <c:showCatName val="0"/>
            <c:showSerName val="1"/>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'October calculations'!$F$410:$G$410</c:f>
              <c:numCache>
                <c:formatCode>0%</c:formatCode>
                <c:ptCount val="2"/>
                <c:pt idx="0">
                  <c:v>0.31818181818181818</c:v>
                </c:pt>
                <c:pt idx="1">
                  <c:v>0.72727272727272729</c:v>
                </c:pt>
              </c:numCache>
            </c:numRef>
          </c:val>
          <c:extLst>
            <c:ext xmlns:c15="http://schemas.microsoft.com/office/drawing/2012/chart" uri="{02D57815-91ED-43cb-92C2-25804820EDAC}">
              <c15:filteredSeriesTitle>
                <c15:tx>
                  <c:strRef>
                    <c:extLst>
                      <c:ext uri="{02D57815-91ED-43cb-92C2-25804820EDAC}">
                        <c15:formulaRef>
                          <c15:sqref>'October calculations'!$E$410</c15:sqref>
                        </c15:formulaRef>
                      </c:ext>
                    </c:extLst>
                    <c:strCache>
                      <c:ptCount val="1"/>
                      <c:pt idx="0">
                        <c:v>Yes</c:v>
                      </c:pt>
                    </c:strCache>
                  </c:strRef>
                </c15:tx>
              </c15:filteredSeriesTitle>
            </c:ext>
            <c:ext xmlns:c15="http://schemas.microsoft.com/office/drawing/2012/chart" uri="{02D57815-91ED-43cb-92C2-25804820EDAC}">
              <c15:filteredCategoryTitle>
                <c15:cat>
                  <c:strRef>
                    <c:extLst>
                      <c:ext uri="{02D57815-91ED-43cb-92C2-25804820EDAC}">
                        <c15:formulaRef>
                          <c15:sqref>'October calculations'!$F$409:$G$409</c15:sqref>
                        </c15:formulaRef>
                      </c:ext>
                    </c:extLst>
                    <c:strCache>
                      <c:ptCount val="2"/>
                      <c:pt idx="0">
                        <c:v>Apr 2017</c:v>
                      </c:pt>
                      <c:pt idx="1">
                        <c:v>Nov 2017</c:v>
                      </c:pt>
                    </c:strCache>
                  </c:strRef>
                </c15:cat>
              </c15:filteredCategoryTitle>
            </c:ext>
            <c:ext xmlns:c16="http://schemas.microsoft.com/office/drawing/2014/chart" uri="{C3380CC4-5D6E-409C-BE32-E72D297353CC}">
              <c16:uniqueId val="{00000000-ADE7-4782-8AEE-D52A14377804}"/>
            </c:ext>
          </c:extLst>
        </c:ser>
        <c:ser>
          <c:idx val="1"/>
          <c:order val="1"/>
          <c:spPr>
            <a:solidFill>
              <a:srgbClr val="FF7D67"/>
            </a:solidFill>
            <a:ln>
              <a:noFill/>
            </a:ln>
            <a:effectLst>
              <a:outerShdw blurRad="50800" dist="38100" dir="2700000" algn="tl" rotWithShape="0">
                <a:prstClr val="black">
                  <a:alpha val="40000"/>
                </a:prstClr>
              </a:outerShdw>
            </a:effectLst>
            <a:scene3d>
              <a:camera prst="orthographicFront"/>
              <a:lightRig rig="threePt" dir="t"/>
            </a:scene3d>
            <a:sp3d>
              <a:bevelT h="19050"/>
            </a:sp3d>
          </c:spPr>
          <c:invertIfNegative val="0"/>
          <c:dLbls>
            <c:delete val="1"/>
          </c:dLbls>
          <c:val>
            <c:numRef>
              <c:f>'October calculations'!$F$411:$G$411</c:f>
              <c:numCache>
                <c:formatCode>0%</c:formatCode>
                <c:ptCount val="2"/>
                <c:pt idx="0">
                  <c:v>0.68181818181818177</c:v>
                </c:pt>
                <c:pt idx="1">
                  <c:v>0.27272727272727271</c:v>
                </c:pt>
              </c:numCache>
            </c:numRef>
          </c:val>
          <c:extLst>
            <c:ext xmlns:c15="http://schemas.microsoft.com/office/drawing/2012/chart" uri="{02D57815-91ED-43cb-92C2-25804820EDAC}">
              <c15:filteredSeriesTitle>
                <c15:tx>
                  <c:strRef>
                    <c:extLst>
                      <c:ext uri="{02D57815-91ED-43cb-92C2-25804820EDAC}">
                        <c15:formulaRef>
                          <c15:sqref>'October calculations'!$E$411</c15:sqref>
                        </c15:formulaRef>
                      </c:ext>
                    </c:extLst>
                    <c:strCache>
                      <c:ptCount val="1"/>
                      <c:pt idx="0">
                        <c:v>No</c:v>
                      </c:pt>
                    </c:strCache>
                  </c:strRef>
                </c15:tx>
              </c15:filteredSeriesTitle>
            </c:ext>
            <c:ext xmlns:c15="http://schemas.microsoft.com/office/drawing/2012/chart" uri="{02D57815-91ED-43cb-92C2-25804820EDAC}">
              <c15:filteredCategoryTitle>
                <c15:cat>
                  <c:strRef>
                    <c:extLst>
                      <c:ext uri="{02D57815-91ED-43cb-92C2-25804820EDAC}">
                        <c15:formulaRef>
                          <c15:sqref>'October calculations'!$F$409:$G$409</c15:sqref>
                        </c15:formulaRef>
                      </c:ext>
                    </c:extLst>
                    <c:strCache>
                      <c:ptCount val="2"/>
                      <c:pt idx="0">
                        <c:v>Apr 2017</c:v>
                      </c:pt>
                      <c:pt idx="1">
                        <c:v>Nov 2017</c:v>
                      </c:pt>
                    </c:strCache>
                  </c:strRef>
                </c15:cat>
              </c15:filteredCategoryTitle>
            </c:ext>
            <c:ext xmlns:c16="http://schemas.microsoft.com/office/drawing/2014/chart" uri="{C3380CC4-5D6E-409C-BE32-E72D297353CC}">
              <c16:uniqueId val="{00000001-ADE7-4782-8AEE-D52A14377804}"/>
            </c:ext>
          </c:extLst>
        </c:ser>
        <c:dLbls>
          <c:showLegendKey val="0"/>
          <c:showVal val="1"/>
          <c:showCatName val="0"/>
          <c:showSerName val="0"/>
          <c:showPercent val="0"/>
          <c:showBubbleSize val="0"/>
        </c:dLbls>
        <c:gapWidth val="60"/>
        <c:overlap val="100"/>
        <c:axId val="1829164016"/>
        <c:axId val="1742261216"/>
      </c:barChart>
      <c:catAx>
        <c:axId val="18291640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t" anchorCtr="1"/>
          <a:lstStyle/>
          <a:p>
            <a:pPr>
              <a:defRPr sz="1200" b="1" i="0" u="none" strike="noStrike" kern="1200" baseline="0">
                <a:solidFill>
                  <a:schemeClr val="tx1">
                    <a:lumMod val="65000"/>
                    <a:lumOff val="35000"/>
                  </a:schemeClr>
                </a:solidFill>
                <a:latin typeface="+mn-lt"/>
                <a:ea typeface="+mn-ea"/>
                <a:cs typeface="+mn-cs"/>
              </a:defRPr>
            </a:pPr>
            <a:endParaRPr lang="en-US"/>
          </a:p>
        </c:txPr>
        <c:crossAx val="1742261216"/>
        <c:crossesAt val="0"/>
        <c:auto val="0"/>
        <c:lblAlgn val="ctr"/>
        <c:lblOffset val="0"/>
        <c:noMultiLvlLbl val="0"/>
      </c:catAx>
      <c:valAx>
        <c:axId val="1742261216"/>
        <c:scaling>
          <c:orientation val="minMax"/>
        </c:scaling>
        <c:delete val="1"/>
        <c:axPos val="l"/>
        <c:majorGridlines>
          <c:spPr>
            <a:ln w="19050" cap="flat" cmpd="sng" algn="ctr">
              <a:solidFill>
                <a:schemeClr val="tx1">
                  <a:lumMod val="15000"/>
                  <a:lumOff val="85000"/>
                </a:schemeClr>
              </a:solidFill>
              <a:round/>
            </a:ln>
            <a:effectLst/>
          </c:spPr>
        </c:majorGridlines>
        <c:minorGridlines>
          <c:spPr>
            <a:ln w="28575" cap="flat" cmpd="sng" algn="ctr">
              <a:solidFill>
                <a:schemeClr val="tx1">
                  <a:lumMod val="5000"/>
                  <a:lumOff val="95000"/>
                </a:schemeClr>
              </a:solidFill>
              <a:round/>
            </a:ln>
            <a:effectLst/>
          </c:spPr>
        </c:minorGridlines>
        <c:numFmt formatCode="0%" sourceLinked="1"/>
        <c:majorTickMark val="cross"/>
        <c:minorTickMark val="in"/>
        <c:tickLblPos val="nextTo"/>
        <c:crossAx val="1829164016"/>
        <c:crosses val="autoZero"/>
        <c:crossBetween val="between"/>
        <c:majorUnit val="0.1"/>
        <c:minorUnit val="5.000000000000001E-2"/>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a:outerShdw blurRad="50800" dist="127000" dir="2700000" algn="tl" rotWithShape="0">
        <a:prstClr val="black">
          <a:alpha val="40000"/>
        </a:prstClr>
      </a:outerShdw>
    </a:effectLst>
    <a:scene3d>
      <a:camera prst="orthographicFront"/>
      <a:lightRig rig="threePt" dir="t"/>
    </a:scene3d>
    <a:sp3d prstMaterial="matte">
      <a:bevelT/>
    </a:sp3d>
  </c:spPr>
  <c:txPr>
    <a:bodyPr/>
    <a:lstStyle/>
    <a:p>
      <a:pPr>
        <a:defRPr/>
      </a:pPr>
      <a:endParaRPr lang="en-US"/>
    </a:p>
  </c:txPr>
  <c:externalData r:id="rId4">
    <c:autoUpdate val="0"/>
  </c:externalData>
  <c:extLst/>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0"/>
          <a:lstStyle/>
          <a:p>
            <a:pPr algn="ctr" rtl="0">
              <a:defRPr lang="en-GB" sz="1200" b="1" i="0" u="none" strike="noStrike" kern="1200" cap="none" spc="0" baseline="0">
                <a:solidFill>
                  <a:sysClr val="windowText" lastClr="000000">
                    <a:lumMod val="65000"/>
                    <a:lumOff val="35000"/>
                  </a:sysClr>
                </a:solidFill>
                <a:latin typeface="+mn-lt"/>
                <a:ea typeface="+mn-ea"/>
                <a:cs typeface="+mn-cs"/>
              </a:defRPr>
            </a:pPr>
            <a:r>
              <a:rPr lang="en-US"/>
              <a:t>Scotland S167 Intent</a:t>
            </a:r>
            <a:endParaRPr lang="en-US" baseline="0"/>
          </a:p>
        </c:rich>
      </c:tx>
      <c:layout>
        <c:manualLayout>
          <c:xMode val="edge"/>
          <c:yMode val="edge"/>
          <c:x val="0.15179142284527575"/>
          <c:y val="1.8304047871878611E-2"/>
        </c:manualLayout>
      </c:layout>
      <c:overlay val="0"/>
      <c:spPr>
        <a:solidFill>
          <a:schemeClr val="bg1"/>
        </a:solidFill>
        <a:ln>
          <a:noFill/>
        </a:ln>
        <a:effectLst/>
      </c:spPr>
      <c:txPr>
        <a:bodyPr rot="0" spcFirstLastPara="1" vertOverflow="ellipsis" vert="horz" wrap="square" anchor="ctr" anchorCtr="0"/>
        <a:lstStyle/>
        <a:p>
          <a:pPr algn="ctr" rtl="0">
            <a:defRPr lang="en-GB" sz="1200" b="1" i="0" u="none" strike="noStrike" kern="1200" cap="none" spc="0" baseline="0">
              <a:solidFill>
                <a:sysClr val="windowText" lastClr="000000">
                  <a:lumMod val="65000"/>
                  <a:lumOff val="35000"/>
                </a:sysClr>
              </a:solidFill>
              <a:latin typeface="+mn-lt"/>
              <a:ea typeface="+mn-ea"/>
              <a:cs typeface="+mn-cs"/>
            </a:defRPr>
          </a:pPr>
          <a:endParaRPr lang="en-US"/>
        </a:p>
      </c:txPr>
    </c:title>
    <c:autoTitleDeleted val="0"/>
    <c:pivotFmts>
      <c:pivotFmt>
        <c:idx val="0"/>
        <c:spPr>
          <a:solidFill>
            <a:schemeClr val="accent1"/>
          </a:solidFill>
          <a:ln>
            <a:noFill/>
          </a:ln>
          <a:effectLst/>
        </c:spPr>
        <c:marker>
          <c:symbol val="none"/>
        </c:marker>
      </c:pivotFmt>
      <c:pivotFmt>
        <c:idx val="1"/>
        <c:spPr>
          <a:solidFill>
            <a:schemeClr val="accent1"/>
          </a:solidFill>
          <a:ln>
            <a:noFill/>
          </a:ln>
          <a:effectLst/>
        </c:spPr>
        <c:marker>
          <c:symbol val="none"/>
        </c:marker>
      </c:pivotFmt>
      <c:pivotFmt>
        <c:idx val="2"/>
        <c:spPr>
          <a:solidFill>
            <a:schemeClr val="accent1"/>
          </a:solidFill>
          <a:ln>
            <a:noFill/>
          </a:ln>
          <a:effectLst/>
        </c:spPr>
        <c:marker>
          <c:symbol val="none"/>
        </c:marker>
      </c:pivotFmt>
      <c:pivotFmt>
        <c:idx val="3"/>
        <c:spPr>
          <a:solidFill>
            <a:schemeClr val="accent1"/>
          </a:solidFill>
          <a:ln>
            <a:noFill/>
          </a:ln>
          <a:effectLst/>
        </c:spPr>
        <c:marker>
          <c:symbol val="none"/>
        </c:marker>
      </c:pivotFmt>
      <c:pivotFmt>
        <c:idx val="4"/>
        <c:spPr>
          <a:solidFill>
            <a:schemeClr val="accent1"/>
          </a:solidFill>
          <a:ln>
            <a:noFill/>
          </a:ln>
          <a:effectLst/>
        </c:spPr>
        <c:marker>
          <c:symbol val="none"/>
        </c:marker>
      </c:pivotFmt>
      <c:pivotFmt>
        <c:idx val="5"/>
        <c:spPr>
          <a:solidFill>
            <a:srgbClr val="7DB17A"/>
          </a:solidFill>
          <a:ln>
            <a:noFill/>
          </a:ln>
          <a:effectLst>
            <a:softEdge rad="50800"/>
          </a:effectLst>
          <a:scene3d>
            <a:camera prst="orthographicFront"/>
            <a:lightRig rig="threePt" dir="t"/>
          </a:scene3d>
          <a:sp3d>
            <a:bevelT/>
          </a:sp3d>
        </c:spPr>
        <c:marker>
          <c:symbol val="none"/>
        </c:marker>
        <c:dLbl>
          <c:idx val="0"/>
          <c:spPr>
            <a:noFill/>
            <a:ln>
              <a:noFill/>
            </a:ln>
            <a:effectLst/>
          </c:spPr>
          <c:txPr>
            <a:bodyPr rot="0" spcFirstLastPara="1" vertOverflow="overflow" horzOverflow="overflow" vert="horz" wrap="square" lIns="38100" tIns="19050" rIns="38100" bIns="19050" anchor="t" anchorCtr="1">
              <a:spAutoFit/>
            </a:bodyPr>
            <a:lstStyle/>
            <a:p>
              <a:pPr>
                <a:defRPr sz="1400" b="1" i="0" u="none" strike="noStrike" kern="1200" baseline="0">
                  <a:ln>
                    <a:noFill/>
                  </a:ln>
                  <a:solidFill>
                    <a:schemeClr val="tx1">
                      <a:lumMod val="75000"/>
                      <a:lumOff val="25000"/>
                    </a:schemeClr>
                  </a:solidFill>
                  <a:latin typeface="+mn-lt"/>
                  <a:ea typeface="+mn-ea"/>
                  <a:cs typeface="+mn-cs"/>
                </a:defRPr>
              </a:pPr>
              <a:endParaRPr lang="en-US"/>
            </a:p>
          </c:txPr>
          <c:dLblPos val="inEnd"/>
          <c:showLegendKey val="0"/>
          <c:showVal val="0"/>
          <c:showCatName val="0"/>
          <c:showSerName val="1"/>
          <c:showPercent val="0"/>
          <c:showBubbleSize val="0"/>
          <c:extLst>
            <c:ext xmlns:c15="http://schemas.microsoft.com/office/drawing/2012/chart" uri="{CE6537A1-D6FC-4f65-9D91-7224C49458BB}"/>
          </c:extLst>
        </c:dLbl>
      </c:pivotFmt>
      <c:pivotFmt>
        <c:idx val="6"/>
        <c:spPr>
          <a:solidFill>
            <a:srgbClr val="C1FFC1"/>
          </a:solidFill>
          <a:ln>
            <a:noFill/>
          </a:ln>
          <a:effectLst/>
          <a:scene3d>
            <a:camera prst="orthographicFront"/>
            <a:lightRig rig="threePt" dir="t"/>
          </a:scene3d>
          <a:sp3d>
            <a:bevel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mn-lt"/>
                  <a:ea typeface="+mn-ea"/>
                  <a:cs typeface="+mn-cs"/>
                </a:defRPr>
              </a:pPr>
              <a:endParaRPr lang="en-US"/>
            </a:p>
          </c:txPr>
          <c:dLblPos val="inEnd"/>
          <c:showLegendKey val="0"/>
          <c:showVal val="0"/>
          <c:showCatName val="0"/>
          <c:showSerName val="1"/>
          <c:showPercent val="0"/>
          <c:showBubbleSize val="0"/>
          <c:extLst>
            <c:ext xmlns:c15="http://schemas.microsoft.com/office/drawing/2012/chart" uri="{CE6537A1-D6FC-4f65-9D91-7224C49458BB}"/>
          </c:extLst>
        </c:dLbl>
      </c:pivotFmt>
      <c:pivotFmt>
        <c:idx val="7"/>
        <c:spPr>
          <a:solidFill>
            <a:srgbClr val="FFFF66"/>
          </a:solidFill>
          <a:ln>
            <a:noFill/>
          </a:ln>
          <a:effectLst/>
          <a:scene3d>
            <a:camera prst="orthographicFront"/>
            <a:lightRig rig="threePt" dir="t"/>
          </a:scene3d>
          <a:sp3d>
            <a:bevel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mn-lt"/>
                  <a:ea typeface="+mn-ea"/>
                  <a:cs typeface="+mn-cs"/>
                </a:defRPr>
              </a:pPr>
              <a:endParaRPr lang="en-US"/>
            </a:p>
          </c:txPr>
          <c:dLblPos val="inEnd"/>
          <c:showLegendKey val="0"/>
          <c:showVal val="0"/>
          <c:showCatName val="0"/>
          <c:showSerName val="1"/>
          <c:showPercent val="0"/>
          <c:showBubbleSize val="0"/>
          <c:extLst>
            <c:ext xmlns:c15="http://schemas.microsoft.com/office/drawing/2012/chart" uri="{CE6537A1-D6FC-4f65-9D91-7224C49458BB}"/>
          </c:extLst>
        </c:dLbl>
      </c:pivotFmt>
      <c:pivotFmt>
        <c:idx val="8"/>
        <c:spPr>
          <a:solidFill>
            <a:srgbClr val="FFC267"/>
          </a:solidFill>
          <a:ln>
            <a:noFill/>
          </a:ln>
          <a:effectLst/>
          <a:scene3d>
            <a:camera prst="orthographicFront"/>
            <a:lightRig rig="threePt" dir="t"/>
          </a:scene3d>
          <a:sp3d>
            <a:bevel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mn-lt"/>
                  <a:ea typeface="+mn-ea"/>
                  <a:cs typeface="+mn-cs"/>
                </a:defRPr>
              </a:pPr>
              <a:endParaRPr lang="en-US"/>
            </a:p>
          </c:txPr>
          <c:dLblPos val="inEnd"/>
          <c:showLegendKey val="0"/>
          <c:showVal val="0"/>
          <c:showCatName val="0"/>
          <c:showSerName val="1"/>
          <c:showPercent val="0"/>
          <c:showBubbleSize val="0"/>
          <c:extLst>
            <c:ext xmlns:c15="http://schemas.microsoft.com/office/drawing/2012/chart" uri="{CE6537A1-D6FC-4f65-9D91-7224C49458BB}"/>
          </c:extLst>
        </c:dLbl>
      </c:pivotFmt>
      <c:pivotFmt>
        <c:idx val="9"/>
        <c:spPr>
          <a:solidFill>
            <a:srgbClr val="FF7D67"/>
          </a:solidFill>
          <a:ln>
            <a:noFill/>
          </a:ln>
          <a:effectLst/>
          <a:scene3d>
            <a:camera prst="orthographicFront"/>
            <a:lightRig rig="threePt" dir="t"/>
          </a:scene3d>
          <a:sp3d>
            <a:bevel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mn-lt"/>
                  <a:ea typeface="+mn-ea"/>
                  <a:cs typeface="+mn-cs"/>
                </a:defRPr>
              </a:pPr>
              <a:endParaRPr lang="en-US"/>
            </a:p>
          </c:txPr>
          <c:dLblPos val="inEnd"/>
          <c:showLegendKey val="0"/>
          <c:showVal val="0"/>
          <c:showCatName val="0"/>
          <c:showSerName val="1"/>
          <c:showPercent val="0"/>
          <c:showBubbleSize val="0"/>
          <c:extLst>
            <c:ext xmlns:c15="http://schemas.microsoft.com/office/drawing/2012/chart" uri="{CE6537A1-D6FC-4f65-9D91-7224C49458BB}"/>
          </c:extLst>
        </c:dLbl>
      </c:pivotFmt>
      <c:pivotFmt>
        <c:idx val="10"/>
        <c:spPr>
          <a:solidFill>
            <a:srgbClr val="7DB17A"/>
          </a:solidFill>
          <a:ln>
            <a:noFill/>
          </a:ln>
          <a:effectLst>
            <a:softEdge rad="50800"/>
          </a:effectLst>
          <a:scene3d>
            <a:camera prst="orthographicFront"/>
            <a:lightRig rig="threePt" dir="t"/>
          </a:scene3d>
          <a:sp3d>
            <a:bevelT/>
          </a:sp3d>
        </c:spPr>
      </c:pivotFmt>
      <c:pivotFmt>
        <c:idx val="11"/>
        <c:spPr>
          <a:solidFill>
            <a:srgbClr val="7DB17A"/>
          </a:solidFill>
          <a:ln>
            <a:noFill/>
          </a:ln>
          <a:effectLst>
            <a:softEdge rad="50800"/>
          </a:effectLst>
          <a:scene3d>
            <a:camera prst="orthographicFront"/>
            <a:lightRig rig="threePt" dir="t"/>
          </a:scene3d>
          <a:sp3d>
            <a:bevelT/>
          </a:sp3d>
        </c:spPr>
      </c:pivotFmt>
      <c:pivotFmt>
        <c:idx val="12"/>
        <c:spPr>
          <a:solidFill>
            <a:srgbClr val="7DB17A"/>
          </a:solidFill>
          <a:ln>
            <a:noFill/>
          </a:ln>
          <a:effectLst>
            <a:softEdge rad="50800"/>
          </a:effectLst>
          <a:scene3d>
            <a:camera prst="orthographicFront"/>
            <a:lightRig rig="threePt" dir="t"/>
          </a:scene3d>
          <a:sp3d>
            <a:bevelT/>
          </a:sp3d>
        </c:spPr>
      </c:pivotFmt>
      <c:pivotFmt>
        <c:idx val="13"/>
        <c:spPr>
          <a:solidFill>
            <a:srgbClr val="7DB17A"/>
          </a:solidFill>
          <a:ln>
            <a:noFill/>
          </a:ln>
          <a:effectLst>
            <a:softEdge rad="50800"/>
          </a:effectLst>
          <a:scene3d>
            <a:camera prst="orthographicFront"/>
            <a:lightRig rig="threePt" dir="t"/>
          </a:scene3d>
          <a:sp3d>
            <a:bevelT/>
          </a:sp3d>
        </c:spPr>
      </c:pivotFmt>
      <c:pivotFmt>
        <c:idx val="14"/>
        <c:spPr>
          <a:solidFill>
            <a:srgbClr val="7DB17A"/>
          </a:solidFill>
          <a:ln>
            <a:noFill/>
          </a:ln>
          <a:effectLst>
            <a:softEdge rad="50800"/>
          </a:effectLst>
          <a:scene3d>
            <a:camera prst="orthographicFront"/>
            <a:lightRig rig="threePt" dir="t"/>
          </a:scene3d>
          <a:sp3d>
            <a:bevelT/>
          </a:sp3d>
        </c:spPr>
      </c:pivotFmt>
      <c:pivotFmt>
        <c:idx val="15"/>
        <c:spPr>
          <a:solidFill>
            <a:srgbClr val="7DB17A"/>
          </a:solidFill>
          <a:ln>
            <a:noFill/>
          </a:ln>
          <a:effectLst>
            <a:softEdge rad="50800"/>
          </a:effectLst>
          <a:scene3d>
            <a:camera prst="orthographicFront"/>
            <a:lightRig rig="threePt" dir="t"/>
          </a:scene3d>
          <a:sp3d>
            <a:bevelT/>
          </a:sp3d>
        </c:spPr>
      </c:pivotFmt>
      <c:pivotFmt>
        <c:idx val="16"/>
        <c:spPr>
          <a:solidFill>
            <a:srgbClr val="7DB17A"/>
          </a:solidFill>
          <a:ln>
            <a:noFill/>
          </a:ln>
          <a:effectLst>
            <a:outerShdw blurRad="50800" dist="38100" dir="2700000" algn="tl" rotWithShape="0">
              <a:prstClr val="black">
                <a:alpha val="40000"/>
              </a:prstClr>
            </a:outerShdw>
          </a:effectLst>
          <a:scene3d>
            <a:camera prst="orthographicFront"/>
            <a:lightRig rig="threePt" dir="t"/>
          </a:scene3d>
          <a:sp3d>
            <a:bevelT h="19050"/>
          </a:sp3d>
        </c:spPr>
        <c:marker>
          <c:symbol val="none"/>
        </c:marker>
        <c:dLbl>
          <c:idx val="0"/>
          <c:spPr>
            <a:noFill/>
            <a:ln>
              <a:noFill/>
            </a:ln>
            <a:effectLst/>
          </c:spPr>
          <c:txPr>
            <a:bodyPr rot="0" spcFirstLastPara="1" vertOverflow="overflow" horzOverflow="overflow" vert="horz" wrap="square" lIns="38100" tIns="19050" rIns="38100" bIns="19050" anchor="t" anchorCtr="1">
              <a:spAutoFit/>
            </a:bodyPr>
            <a:lstStyle/>
            <a:p>
              <a:pPr>
                <a:defRPr sz="1400" b="1" i="0" u="none" strike="noStrike" kern="1200" baseline="0">
                  <a:ln>
                    <a:noFill/>
                  </a:ln>
                  <a:solidFill>
                    <a:schemeClr val="tx1">
                      <a:lumMod val="75000"/>
                      <a:lumOff val="25000"/>
                    </a:schemeClr>
                  </a:solidFill>
                  <a:latin typeface="+mn-lt"/>
                  <a:ea typeface="+mn-ea"/>
                  <a:cs typeface="+mn-cs"/>
                </a:defRPr>
              </a:pPr>
              <a:endParaRPr lang="en-US"/>
            </a:p>
          </c:txPr>
          <c:dLblPos val="inEnd"/>
          <c:showLegendKey val="0"/>
          <c:showVal val="0"/>
          <c:showCatName val="0"/>
          <c:showSerName val="1"/>
          <c:showPercent val="0"/>
          <c:showBubbleSize val="0"/>
          <c:extLst>
            <c:ext xmlns:c15="http://schemas.microsoft.com/office/drawing/2012/chart" uri="{CE6537A1-D6FC-4f65-9D91-7224C49458BB}"/>
          </c:extLst>
        </c:dLbl>
      </c:pivotFmt>
      <c:pivotFmt>
        <c:idx val="17"/>
        <c:spPr>
          <a:solidFill>
            <a:srgbClr val="C1FFC1"/>
          </a:solidFill>
          <a:ln>
            <a:noFill/>
          </a:ln>
          <a:effectLst>
            <a:outerShdw blurRad="50800" dist="38100" dir="2700000" algn="tl" rotWithShape="0">
              <a:prstClr val="black">
                <a:alpha val="40000"/>
              </a:prstClr>
            </a:outerShdw>
          </a:effectLst>
          <a:scene3d>
            <a:camera prst="orthographicFront"/>
            <a:lightRig rig="threePt" dir="t"/>
          </a:scene3d>
          <a:sp3d>
            <a:bevelT h="1905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mn-lt"/>
                  <a:ea typeface="+mn-ea"/>
                  <a:cs typeface="+mn-cs"/>
                </a:defRPr>
              </a:pPr>
              <a:endParaRPr lang="en-US"/>
            </a:p>
          </c:txPr>
          <c:dLblPos val="inEnd"/>
          <c:showLegendKey val="0"/>
          <c:showVal val="0"/>
          <c:showCatName val="0"/>
          <c:showSerName val="1"/>
          <c:showPercent val="0"/>
          <c:showBubbleSize val="0"/>
          <c:extLst>
            <c:ext xmlns:c15="http://schemas.microsoft.com/office/drawing/2012/chart" uri="{CE6537A1-D6FC-4f65-9D91-7224C49458BB}"/>
          </c:extLst>
        </c:dLbl>
      </c:pivotFmt>
      <c:pivotFmt>
        <c:idx val="18"/>
        <c:spPr>
          <a:solidFill>
            <a:srgbClr val="FFFF66"/>
          </a:solidFill>
          <a:ln>
            <a:noFill/>
          </a:ln>
          <a:effectLst>
            <a:outerShdw blurRad="50800" dist="38100" dir="2700000" algn="tl" rotWithShape="0">
              <a:prstClr val="black">
                <a:alpha val="40000"/>
              </a:prstClr>
            </a:outerShdw>
          </a:effectLst>
          <a:scene3d>
            <a:camera prst="orthographicFront"/>
            <a:lightRig rig="threePt" dir="t"/>
          </a:scene3d>
          <a:sp3d>
            <a:bevelT h="1905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mn-lt"/>
                  <a:ea typeface="+mn-ea"/>
                  <a:cs typeface="+mn-cs"/>
                </a:defRPr>
              </a:pPr>
              <a:endParaRPr lang="en-US"/>
            </a:p>
          </c:txPr>
          <c:dLblPos val="inEnd"/>
          <c:showLegendKey val="0"/>
          <c:showVal val="0"/>
          <c:showCatName val="0"/>
          <c:showSerName val="1"/>
          <c:showPercent val="0"/>
          <c:showBubbleSize val="0"/>
          <c:extLst>
            <c:ext xmlns:c15="http://schemas.microsoft.com/office/drawing/2012/chart" uri="{CE6537A1-D6FC-4f65-9D91-7224C49458BB}"/>
          </c:extLst>
        </c:dLbl>
      </c:pivotFmt>
      <c:pivotFmt>
        <c:idx val="19"/>
        <c:spPr>
          <a:solidFill>
            <a:srgbClr val="FFC267"/>
          </a:solidFill>
          <a:ln>
            <a:noFill/>
          </a:ln>
          <a:effectLst>
            <a:outerShdw blurRad="50800" dist="38100" dir="2700000" algn="tl" rotWithShape="0">
              <a:prstClr val="black">
                <a:alpha val="40000"/>
              </a:prstClr>
            </a:outerShdw>
          </a:effectLst>
          <a:scene3d>
            <a:camera prst="orthographicFront"/>
            <a:lightRig rig="threePt" dir="t"/>
          </a:scene3d>
          <a:sp3d>
            <a:bevelT h="1905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mn-lt"/>
                  <a:ea typeface="+mn-ea"/>
                  <a:cs typeface="+mn-cs"/>
                </a:defRPr>
              </a:pPr>
              <a:endParaRPr lang="en-US"/>
            </a:p>
          </c:txPr>
          <c:dLblPos val="inEnd"/>
          <c:showLegendKey val="0"/>
          <c:showVal val="0"/>
          <c:showCatName val="0"/>
          <c:showSerName val="1"/>
          <c:showPercent val="0"/>
          <c:showBubbleSize val="0"/>
          <c:extLst>
            <c:ext xmlns:c15="http://schemas.microsoft.com/office/drawing/2012/chart" uri="{CE6537A1-D6FC-4f65-9D91-7224C49458BB}"/>
          </c:extLst>
        </c:dLbl>
      </c:pivotFmt>
      <c:pivotFmt>
        <c:idx val="20"/>
        <c:spPr>
          <a:solidFill>
            <a:srgbClr val="FF7D67"/>
          </a:solidFill>
          <a:ln>
            <a:noFill/>
          </a:ln>
          <a:effectLst>
            <a:outerShdw blurRad="50800" dist="38100" dir="2700000" algn="tl" rotWithShape="0">
              <a:prstClr val="black">
                <a:alpha val="40000"/>
              </a:prstClr>
            </a:outerShdw>
          </a:effectLst>
          <a:scene3d>
            <a:camera prst="orthographicFront"/>
            <a:lightRig rig="threePt" dir="t"/>
          </a:scene3d>
          <a:sp3d>
            <a:bevelT h="1905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mn-lt"/>
                  <a:ea typeface="+mn-ea"/>
                  <a:cs typeface="+mn-cs"/>
                </a:defRPr>
              </a:pPr>
              <a:endParaRPr lang="en-US"/>
            </a:p>
          </c:txPr>
          <c:dLblPos val="inEnd"/>
          <c:showLegendKey val="0"/>
          <c:showVal val="0"/>
          <c:showCatName val="0"/>
          <c:showSerName val="1"/>
          <c:showPercent val="0"/>
          <c:showBubbleSize val="0"/>
          <c:extLst>
            <c:ext xmlns:c15="http://schemas.microsoft.com/office/drawing/2012/chart" uri="{CE6537A1-D6FC-4f65-9D91-7224C49458BB}"/>
          </c:extLst>
        </c:dLbl>
      </c:pivotFmt>
      <c:pivotFmt>
        <c:idx val="21"/>
        <c:spPr>
          <a:solidFill>
            <a:srgbClr val="7DB17A"/>
          </a:solidFill>
          <a:ln>
            <a:noFill/>
          </a:ln>
          <a:effectLst>
            <a:outerShdw blurRad="50800" dist="38100" dir="2700000" algn="tl" rotWithShape="0">
              <a:prstClr val="black">
                <a:alpha val="40000"/>
              </a:prstClr>
            </a:outerShdw>
          </a:effectLst>
          <a:scene3d>
            <a:camera prst="orthographicFront"/>
            <a:lightRig rig="threePt" dir="t"/>
          </a:scene3d>
          <a:sp3d>
            <a:bevelT h="19050"/>
          </a:sp3d>
        </c:spPr>
        <c:marker>
          <c:symbol val="none"/>
        </c:marker>
        <c:dLbl>
          <c:idx val="0"/>
          <c:spPr>
            <a:noFill/>
            <a:ln>
              <a:noFill/>
            </a:ln>
            <a:effectLst/>
          </c:spPr>
          <c:txPr>
            <a:bodyPr rot="0" spcFirstLastPara="1" vertOverflow="overflow" horzOverflow="overflow" vert="horz" wrap="square" lIns="38100" tIns="19050" rIns="38100" bIns="19050" anchor="t" anchorCtr="1">
              <a:spAutoFit/>
            </a:bodyPr>
            <a:lstStyle/>
            <a:p>
              <a:pPr>
                <a:defRPr sz="1400" b="1" i="0" u="none" strike="noStrike" kern="1200" baseline="0">
                  <a:ln>
                    <a:noFill/>
                  </a:ln>
                  <a:solidFill>
                    <a:schemeClr val="tx1">
                      <a:lumMod val="75000"/>
                      <a:lumOff val="25000"/>
                    </a:schemeClr>
                  </a:solidFill>
                  <a:latin typeface="+mn-lt"/>
                  <a:ea typeface="+mn-ea"/>
                  <a:cs typeface="+mn-cs"/>
                </a:defRPr>
              </a:pPr>
              <a:endParaRPr lang="en-US"/>
            </a:p>
          </c:txPr>
          <c:dLblPos val="inEnd"/>
          <c:showLegendKey val="0"/>
          <c:showVal val="0"/>
          <c:showCatName val="0"/>
          <c:showSerName val="1"/>
          <c:showPercent val="0"/>
          <c:showBubbleSize val="0"/>
          <c:extLst>
            <c:ext xmlns:c15="http://schemas.microsoft.com/office/drawing/2012/chart" uri="{CE6537A1-D6FC-4f65-9D91-7224C49458BB}"/>
          </c:extLst>
        </c:dLbl>
      </c:pivotFmt>
      <c:pivotFmt>
        <c:idx val="22"/>
        <c:spPr>
          <a:solidFill>
            <a:srgbClr val="C1FFC1"/>
          </a:solidFill>
          <a:ln>
            <a:noFill/>
          </a:ln>
          <a:effectLst>
            <a:outerShdw blurRad="50800" dist="38100" dir="2700000" algn="tl" rotWithShape="0">
              <a:prstClr val="black">
                <a:alpha val="40000"/>
              </a:prstClr>
            </a:outerShdw>
          </a:effectLst>
          <a:scene3d>
            <a:camera prst="orthographicFront"/>
            <a:lightRig rig="threePt" dir="t"/>
          </a:scene3d>
          <a:sp3d>
            <a:bevelT h="1905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mn-lt"/>
                  <a:ea typeface="+mn-ea"/>
                  <a:cs typeface="+mn-cs"/>
                </a:defRPr>
              </a:pPr>
              <a:endParaRPr lang="en-US"/>
            </a:p>
          </c:txPr>
          <c:dLblPos val="inEnd"/>
          <c:showLegendKey val="0"/>
          <c:showVal val="0"/>
          <c:showCatName val="0"/>
          <c:showSerName val="1"/>
          <c:showPercent val="0"/>
          <c:showBubbleSize val="0"/>
          <c:extLst>
            <c:ext xmlns:c15="http://schemas.microsoft.com/office/drawing/2012/chart" uri="{CE6537A1-D6FC-4f65-9D91-7224C49458BB}"/>
          </c:extLst>
        </c:dLbl>
      </c:pivotFmt>
      <c:pivotFmt>
        <c:idx val="23"/>
        <c:spPr>
          <a:solidFill>
            <a:srgbClr val="FFFF66"/>
          </a:solidFill>
          <a:ln>
            <a:noFill/>
          </a:ln>
          <a:effectLst>
            <a:outerShdw blurRad="50800" dist="38100" dir="2700000" algn="tl" rotWithShape="0">
              <a:prstClr val="black">
                <a:alpha val="40000"/>
              </a:prstClr>
            </a:outerShdw>
          </a:effectLst>
          <a:scene3d>
            <a:camera prst="orthographicFront"/>
            <a:lightRig rig="threePt" dir="t"/>
          </a:scene3d>
          <a:sp3d>
            <a:bevelT h="1905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mn-lt"/>
                  <a:ea typeface="+mn-ea"/>
                  <a:cs typeface="+mn-cs"/>
                </a:defRPr>
              </a:pPr>
              <a:endParaRPr lang="en-US"/>
            </a:p>
          </c:txPr>
          <c:dLblPos val="inEnd"/>
          <c:showLegendKey val="0"/>
          <c:showVal val="0"/>
          <c:showCatName val="0"/>
          <c:showSerName val="1"/>
          <c:showPercent val="0"/>
          <c:showBubbleSize val="0"/>
          <c:extLst>
            <c:ext xmlns:c15="http://schemas.microsoft.com/office/drawing/2012/chart" uri="{CE6537A1-D6FC-4f65-9D91-7224C49458BB}"/>
          </c:extLst>
        </c:dLbl>
      </c:pivotFmt>
      <c:pivotFmt>
        <c:idx val="24"/>
        <c:spPr>
          <a:solidFill>
            <a:srgbClr val="FFC267"/>
          </a:solidFill>
          <a:ln>
            <a:noFill/>
          </a:ln>
          <a:effectLst>
            <a:outerShdw blurRad="50800" dist="38100" dir="2700000" algn="tl" rotWithShape="0">
              <a:prstClr val="black">
                <a:alpha val="40000"/>
              </a:prstClr>
            </a:outerShdw>
          </a:effectLst>
          <a:scene3d>
            <a:camera prst="orthographicFront"/>
            <a:lightRig rig="threePt" dir="t"/>
          </a:scene3d>
          <a:sp3d>
            <a:bevelT h="1905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mn-lt"/>
                  <a:ea typeface="+mn-ea"/>
                  <a:cs typeface="+mn-cs"/>
                </a:defRPr>
              </a:pPr>
              <a:endParaRPr lang="en-US"/>
            </a:p>
          </c:txPr>
          <c:dLblPos val="inEnd"/>
          <c:showLegendKey val="0"/>
          <c:showVal val="0"/>
          <c:showCatName val="0"/>
          <c:showSerName val="1"/>
          <c:showPercent val="0"/>
          <c:showBubbleSize val="0"/>
          <c:extLst>
            <c:ext xmlns:c15="http://schemas.microsoft.com/office/drawing/2012/chart" uri="{CE6537A1-D6FC-4f65-9D91-7224C49458BB}"/>
          </c:extLst>
        </c:dLbl>
      </c:pivotFmt>
      <c:pivotFmt>
        <c:idx val="25"/>
        <c:spPr>
          <a:solidFill>
            <a:srgbClr val="FF7D67"/>
          </a:solidFill>
          <a:ln>
            <a:noFill/>
          </a:ln>
          <a:effectLst>
            <a:outerShdw blurRad="50800" dist="38100" dir="2700000" algn="tl" rotWithShape="0">
              <a:prstClr val="black">
                <a:alpha val="40000"/>
              </a:prstClr>
            </a:outerShdw>
          </a:effectLst>
          <a:scene3d>
            <a:camera prst="orthographicFront"/>
            <a:lightRig rig="threePt" dir="t"/>
          </a:scene3d>
          <a:sp3d>
            <a:bevelT h="1905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mn-lt"/>
                  <a:ea typeface="+mn-ea"/>
                  <a:cs typeface="+mn-cs"/>
                </a:defRPr>
              </a:pPr>
              <a:endParaRPr lang="en-US"/>
            </a:p>
          </c:txPr>
          <c:dLblPos val="inEnd"/>
          <c:showLegendKey val="0"/>
          <c:showVal val="0"/>
          <c:showCatName val="0"/>
          <c:showSerName val="1"/>
          <c:showPercent val="0"/>
          <c:showBubbleSize val="0"/>
          <c:extLst>
            <c:ext xmlns:c15="http://schemas.microsoft.com/office/drawing/2012/chart" uri="{CE6537A1-D6FC-4f65-9D91-7224C49458BB}"/>
          </c:extLst>
        </c:dLbl>
      </c:pivotFmt>
      <c:pivotFmt>
        <c:idx val="26"/>
        <c:spPr>
          <a:solidFill>
            <a:srgbClr val="7DB17A"/>
          </a:solidFill>
          <a:ln>
            <a:noFill/>
          </a:ln>
          <a:effectLst>
            <a:outerShdw blurRad="50800" dist="38100" dir="2700000" algn="tl" rotWithShape="0">
              <a:prstClr val="black">
                <a:alpha val="40000"/>
              </a:prstClr>
            </a:outerShdw>
          </a:effectLst>
          <a:scene3d>
            <a:camera prst="orthographicFront"/>
            <a:lightRig rig="threePt" dir="t"/>
          </a:scene3d>
          <a:sp3d>
            <a:bevelT h="19050"/>
          </a:sp3d>
        </c:spPr>
        <c:marker>
          <c:symbol val="none"/>
        </c:marker>
        <c:dLbl>
          <c:idx val="0"/>
          <c:spPr>
            <a:noFill/>
            <a:ln>
              <a:noFill/>
            </a:ln>
            <a:effectLst/>
          </c:spPr>
          <c:txPr>
            <a:bodyPr rot="0" spcFirstLastPara="1" vertOverflow="overflow" horzOverflow="overflow" vert="horz" wrap="square" lIns="38100" tIns="19050" rIns="38100" bIns="19050" anchor="t" anchorCtr="1">
              <a:spAutoFit/>
            </a:bodyPr>
            <a:lstStyle/>
            <a:p>
              <a:pPr>
                <a:defRPr sz="1400" b="1" i="0" u="none" strike="noStrike" kern="1200" baseline="0">
                  <a:ln>
                    <a:noFill/>
                  </a:ln>
                  <a:solidFill>
                    <a:schemeClr val="tx1">
                      <a:lumMod val="75000"/>
                      <a:lumOff val="25000"/>
                    </a:schemeClr>
                  </a:solidFill>
                  <a:latin typeface="+mn-lt"/>
                  <a:ea typeface="+mn-ea"/>
                  <a:cs typeface="+mn-cs"/>
                </a:defRPr>
              </a:pPr>
              <a:endParaRPr lang="en-US"/>
            </a:p>
          </c:txPr>
          <c:dLblPos val="inEnd"/>
          <c:showLegendKey val="0"/>
          <c:showVal val="0"/>
          <c:showCatName val="0"/>
          <c:showSerName val="1"/>
          <c:showPercent val="0"/>
          <c:showBubbleSize val="0"/>
          <c:extLst>
            <c:ext xmlns:c15="http://schemas.microsoft.com/office/drawing/2012/chart" uri="{CE6537A1-D6FC-4f65-9D91-7224C49458BB}"/>
          </c:extLst>
        </c:dLbl>
      </c:pivotFmt>
      <c:pivotFmt>
        <c:idx val="27"/>
        <c:spPr>
          <a:solidFill>
            <a:srgbClr val="C1FFC1"/>
          </a:solidFill>
          <a:ln>
            <a:noFill/>
          </a:ln>
          <a:effectLst>
            <a:outerShdw blurRad="50800" dist="38100" dir="2700000" algn="tl" rotWithShape="0">
              <a:prstClr val="black">
                <a:alpha val="40000"/>
              </a:prstClr>
            </a:outerShdw>
          </a:effectLst>
          <a:scene3d>
            <a:camera prst="orthographicFront"/>
            <a:lightRig rig="threePt" dir="t"/>
          </a:scene3d>
          <a:sp3d>
            <a:bevelT h="1905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mn-lt"/>
                  <a:ea typeface="+mn-ea"/>
                  <a:cs typeface="+mn-cs"/>
                </a:defRPr>
              </a:pPr>
              <a:endParaRPr lang="en-US"/>
            </a:p>
          </c:txPr>
          <c:dLblPos val="inEnd"/>
          <c:showLegendKey val="0"/>
          <c:showVal val="0"/>
          <c:showCatName val="0"/>
          <c:showSerName val="1"/>
          <c:showPercent val="0"/>
          <c:showBubbleSize val="0"/>
          <c:extLst>
            <c:ext xmlns:c15="http://schemas.microsoft.com/office/drawing/2012/chart" uri="{CE6537A1-D6FC-4f65-9D91-7224C49458BB}"/>
          </c:extLst>
        </c:dLbl>
      </c:pivotFmt>
      <c:pivotFmt>
        <c:idx val="28"/>
        <c:spPr>
          <a:solidFill>
            <a:srgbClr val="FFFF66"/>
          </a:solidFill>
          <a:ln>
            <a:noFill/>
          </a:ln>
          <a:effectLst>
            <a:outerShdw blurRad="50800" dist="38100" dir="2700000" algn="tl" rotWithShape="0">
              <a:prstClr val="black">
                <a:alpha val="40000"/>
              </a:prstClr>
            </a:outerShdw>
          </a:effectLst>
          <a:scene3d>
            <a:camera prst="orthographicFront"/>
            <a:lightRig rig="threePt" dir="t"/>
          </a:scene3d>
          <a:sp3d>
            <a:bevelT h="1905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mn-lt"/>
                  <a:ea typeface="+mn-ea"/>
                  <a:cs typeface="+mn-cs"/>
                </a:defRPr>
              </a:pPr>
              <a:endParaRPr lang="en-US"/>
            </a:p>
          </c:txPr>
          <c:dLblPos val="inEnd"/>
          <c:showLegendKey val="0"/>
          <c:showVal val="0"/>
          <c:showCatName val="0"/>
          <c:showSerName val="1"/>
          <c:showPercent val="0"/>
          <c:showBubbleSize val="0"/>
          <c:extLst>
            <c:ext xmlns:c15="http://schemas.microsoft.com/office/drawing/2012/chart" uri="{CE6537A1-D6FC-4f65-9D91-7224C49458BB}"/>
          </c:extLst>
        </c:dLbl>
      </c:pivotFmt>
      <c:pivotFmt>
        <c:idx val="29"/>
        <c:spPr>
          <a:solidFill>
            <a:srgbClr val="FFC267"/>
          </a:solidFill>
          <a:ln>
            <a:noFill/>
          </a:ln>
          <a:effectLst>
            <a:outerShdw blurRad="50800" dist="38100" dir="2700000" algn="tl" rotWithShape="0">
              <a:prstClr val="black">
                <a:alpha val="40000"/>
              </a:prstClr>
            </a:outerShdw>
          </a:effectLst>
          <a:scene3d>
            <a:camera prst="orthographicFront"/>
            <a:lightRig rig="threePt" dir="t"/>
          </a:scene3d>
          <a:sp3d>
            <a:bevelT h="1905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mn-lt"/>
                  <a:ea typeface="+mn-ea"/>
                  <a:cs typeface="+mn-cs"/>
                </a:defRPr>
              </a:pPr>
              <a:endParaRPr lang="en-US"/>
            </a:p>
          </c:txPr>
          <c:dLblPos val="inEnd"/>
          <c:showLegendKey val="0"/>
          <c:showVal val="0"/>
          <c:showCatName val="0"/>
          <c:showSerName val="1"/>
          <c:showPercent val="0"/>
          <c:showBubbleSize val="0"/>
          <c:extLst>
            <c:ext xmlns:c15="http://schemas.microsoft.com/office/drawing/2012/chart" uri="{CE6537A1-D6FC-4f65-9D91-7224C49458BB}"/>
          </c:extLst>
        </c:dLbl>
      </c:pivotFmt>
      <c:pivotFmt>
        <c:idx val="30"/>
        <c:spPr>
          <a:solidFill>
            <a:srgbClr val="FF7D67"/>
          </a:solidFill>
          <a:ln>
            <a:noFill/>
          </a:ln>
          <a:effectLst>
            <a:outerShdw blurRad="50800" dist="38100" dir="2700000" algn="tl" rotWithShape="0">
              <a:prstClr val="black">
                <a:alpha val="40000"/>
              </a:prstClr>
            </a:outerShdw>
          </a:effectLst>
          <a:scene3d>
            <a:camera prst="orthographicFront"/>
            <a:lightRig rig="threePt" dir="t"/>
          </a:scene3d>
          <a:sp3d>
            <a:bevelT h="1905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mn-lt"/>
                  <a:ea typeface="+mn-ea"/>
                  <a:cs typeface="+mn-cs"/>
                </a:defRPr>
              </a:pPr>
              <a:endParaRPr lang="en-US"/>
            </a:p>
          </c:txPr>
          <c:dLblPos val="inEnd"/>
          <c:showLegendKey val="0"/>
          <c:showVal val="0"/>
          <c:showCatName val="0"/>
          <c:showSerName val="1"/>
          <c:showPercent val="0"/>
          <c:showBubbleSize val="0"/>
          <c:extLst>
            <c:ext xmlns:c15="http://schemas.microsoft.com/office/drawing/2012/chart" uri="{CE6537A1-D6FC-4f65-9D91-7224C49458BB}"/>
          </c:extLst>
        </c:dLbl>
      </c:pivotFmt>
    </c:pivotFmts>
    <c:plotArea>
      <c:layout>
        <c:manualLayout>
          <c:layoutTarget val="inner"/>
          <c:xMode val="edge"/>
          <c:yMode val="edge"/>
          <c:x val="4.7658925742612761E-2"/>
          <c:y val="8.2738164058606595E-2"/>
          <c:w val="0.86516947153090884"/>
          <c:h val="0.81421747212368778"/>
        </c:manualLayout>
      </c:layout>
      <c:barChart>
        <c:barDir val="col"/>
        <c:grouping val="percentStacked"/>
        <c:varyColors val="0"/>
        <c:ser>
          <c:idx val="0"/>
          <c:order val="0"/>
          <c:spPr>
            <a:solidFill>
              <a:srgbClr val="7DB17A"/>
            </a:solidFill>
            <a:ln>
              <a:noFill/>
            </a:ln>
            <a:effectLst>
              <a:outerShdw blurRad="50800" dist="38100" dir="2700000" algn="tl" rotWithShape="0">
                <a:prstClr val="black">
                  <a:alpha val="40000"/>
                </a:prstClr>
              </a:outerShdw>
            </a:effectLst>
            <a:scene3d>
              <a:camera prst="orthographicFront"/>
              <a:lightRig rig="threePt" dir="t"/>
            </a:scene3d>
            <a:sp3d>
              <a:bevelT h="19050"/>
            </a:sp3d>
          </c:spPr>
          <c:invertIfNegative val="0"/>
          <c:dLbls>
            <c:dLbl>
              <c:idx val="0"/>
              <c:tx>
                <c:rich>
                  <a:bodyPr/>
                  <a:lstStyle/>
                  <a:p>
                    <a:r>
                      <a:rPr lang="en-US"/>
                      <a:t>Yes</a:t>
                    </a:r>
                    <a:r>
                      <a:rPr lang="en-US" baseline="0"/>
                      <a:t>
</a:t>
                    </a:r>
                    <a:fld id="{BE49DD86-D286-44BC-9874-D5D11E7C4E3B}" type="VALUE">
                      <a:rPr lang="en-US" baseline="0"/>
                      <a:pPr/>
                      <a:t>[VALUE]</a:t>
                    </a:fld>
                    <a:endParaRPr lang="en-US" baseline="0"/>
                  </a:p>
                </c:rich>
              </c:tx>
              <c:dLblPos val="inEnd"/>
              <c:showLegendKey val="0"/>
              <c:showVal val="1"/>
              <c:showCatName val="0"/>
              <c:showSerName val="1"/>
              <c:showPercent val="0"/>
              <c:showBubbleSize val="0"/>
              <c:separator>
</c:separator>
              <c:extLst>
                <c:ext xmlns:c15="http://schemas.microsoft.com/office/drawing/2012/chart" uri="{CE6537A1-D6FC-4f65-9D91-7224C49458BB}">
                  <c15:layout>
                    <c:manualLayout>
                      <c:w val="0.21593677971682582"/>
                      <c:h val="0.1831898734177215"/>
                    </c:manualLayout>
                  </c15:layout>
                  <c15:dlblFieldTable/>
                  <c15:showDataLabelsRange val="0"/>
                </c:ext>
                <c:ext xmlns:c16="http://schemas.microsoft.com/office/drawing/2014/chart" uri="{C3380CC4-5D6E-409C-BE32-E72D297353CC}">
                  <c16:uniqueId val="{00000000-F45E-4C70-8DA9-FAA37580163D}"/>
                </c:ext>
              </c:extLst>
            </c:dLbl>
            <c:dLbl>
              <c:idx val="1"/>
              <c:tx>
                <c:rich>
                  <a:bodyPr/>
                  <a:lstStyle/>
                  <a:p>
                    <a:r>
                      <a:rPr lang="en-US"/>
                      <a:t>Yes</a:t>
                    </a:r>
                    <a:r>
                      <a:rPr lang="en-US" baseline="0"/>
                      <a:t>
</a:t>
                    </a:r>
                    <a:fld id="{663856EA-F526-47F0-8137-C95B8889B7A0}" type="VALUE">
                      <a:rPr lang="en-US" baseline="0"/>
                      <a:pPr/>
                      <a:t>[VALUE]</a:t>
                    </a:fld>
                    <a:endParaRPr lang="en-US" baseline="0"/>
                  </a:p>
                </c:rich>
              </c:tx>
              <c:dLblPos val="inEnd"/>
              <c:showLegendKey val="0"/>
              <c:showVal val="1"/>
              <c:showCatName val="0"/>
              <c:showSerName val="1"/>
              <c:showPercent val="0"/>
              <c:showBubbleSize val="0"/>
              <c:separator>
</c:separator>
              <c:extLst>
                <c:ext xmlns:c15="http://schemas.microsoft.com/office/drawing/2012/chart" uri="{CE6537A1-D6FC-4f65-9D91-7224C49458BB}">
                  <c15:layout>
                    <c:manualLayout>
                      <c:w val="0.23569311820875866"/>
                      <c:h val="0.1831898734177215"/>
                    </c:manualLayout>
                  </c15:layout>
                  <c15:dlblFieldTable/>
                  <c15:showDataLabelsRange val="0"/>
                </c:ext>
                <c:ext xmlns:c16="http://schemas.microsoft.com/office/drawing/2014/chart" uri="{C3380CC4-5D6E-409C-BE32-E72D297353CC}">
                  <c16:uniqueId val="{00000001-F45E-4C70-8DA9-FAA37580163D}"/>
                </c:ext>
              </c:extLst>
            </c:dLbl>
            <c:spPr>
              <a:noFill/>
              <a:ln>
                <a:noFill/>
              </a:ln>
              <a:effectLst/>
            </c:spPr>
            <c:txPr>
              <a:bodyPr rot="0" spcFirstLastPara="1" vertOverflow="overflow" horzOverflow="overflow" vert="horz" wrap="square" lIns="38100" tIns="19050" rIns="38100" bIns="19050" anchor="t" anchorCtr="1">
                <a:spAutoFit/>
              </a:bodyPr>
              <a:lstStyle/>
              <a:p>
                <a:pPr>
                  <a:defRPr sz="1400" b="1" i="0" u="none" strike="noStrike" kern="1200" baseline="0">
                    <a:ln>
                      <a:noFill/>
                    </a:ln>
                    <a:solidFill>
                      <a:schemeClr val="tx1">
                        <a:lumMod val="75000"/>
                        <a:lumOff val="25000"/>
                      </a:schemeClr>
                    </a:solidFill>
                    <a:latin typeface="+mn-lt"/>
                    <a:ea typeface="+mn-ea"/>
                    <a:cs typeface="+mn-cs"/>
                  </a:defRPr>
                </a:pPr>
                <a:endParaRPr lang="en-US"/>
              </a:p>
            </c:txPr>
            <c:dLblPos val="inEnd"/>
            <c:showLegendKey val="0"/>
            <c:showVal val="1"/>
            <c:showCatName val="0"/>
            <c:showSerName val="1"/>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'October calculations'!$F$401:$G$401</c:f>
              <c:numCache>
                <c:formatCode>0%</c:formatCode>
                <c:ptCount val="2"/>
                <c:pt idx="0">
                  <c:v>0.25</c:v>
                </c:pt>
                <c:pt idx="1">
                  <c:v>0.28125</c:v>
                </c:pt>
              </c:numCache>
            </c:numRef>
          </c:val>
          <c:extLst>
            <c:ext xmlns:c15="http://schemas.microsoft.com/office/drawing/2012/chart" uri="{02D57815-91ED-43cb-92C2-25804820EDAC}">
              <c15:filteredSeriesTitle>
                <c15:tx>
                  <c:strRef>
                    <c:extLst>
                      <c:ext uri="{02D57815-91ED-43cb-92C2-25804820EDAC}">
                        <c15:formulaRef>
                          <c15:sqref>'October calculations'!$E$401</c15:sqref>
                        </c15:formulaRef>
                      </c:ext>
                    </c:extLst>
                    <c:strCache>
                      <c:ptCount val="1"/>
                      <c:pt idx="0">
                        <c:v>Yes</c:v>
                      </c:pt>
                    </c:strCache>
                  </c:strRef>
                </c15:tx>
              </c15:filteredSeriesTitle>
            </c:ext>
            <c:ext xmlns:c15="http://schemas.microsoft.com/office/drawing/2012/chart" uri="{02D57815-91ED-43cb-92C2-25804820EDAC}">
              <c15:filteredCategoryTitle>
                <c15:cat>
                  <c:strRef>
                    <c:extLst>
                      <c:ext uri="{02D57815-91ED-43cb-92C2-25804820EDAC}">
                        <c15:formulaRef>
                          <c15:sqref>'October calculations'!$F$400:$G$400</c15:sqref>
                        </c15:formulaRef>
                      </c:ext>
                    </c:extLst>
                    <c:strCache>
                      <c:ptCount val="2"/>
                      <c:pt idx="0">
                        <c:v>Apr 2017</c:v>
                      </c:pt>
                      <c:pt idx="1">
                        <c:v>Nov 2017</c:v>
                      </c:pt>
                    </c:strCache>
                  </c:strRef>
                </c15:cat>
              </c15:filteredCategoryTitle>
            </c:ext>
            <c:ext xmlns:c16="http://schemas.microsoft.com/office/drawing/2014/chart" uri="{C3380CC4-5D6E-409C-BE32-E72D297353CC}">
              <c16:uniqueId val="{00000000-6223-4383-A94D-904FA81E513B}"/>
            </c:ext>
          </c:extLst>
        </c:ser>
        <c:ser>
          <c:idx val="1"/>
          <c:order val="1"/>
          <c:spPr>
            <a:solidFill>
              <a:srgbClr val="FF7D67"/>
            </a:solidFill>
            <a:ln>
              <a:noFill/>
            </a:ln>
            <a:effectLst>
              <a:outerShdw blurRad="50800" dist="38100" dir="2700000" algn="tl" rotWithShape="0">
                <a:prstClr val="black">
                  <a:alpha val="40000"/>
                </a:prstClr>
              </a:outerShdw>
            </a:effectLst>
            <a:scene3d>
              <a:camera prst="orthographicFront"/>
              <a:lightRig rig="threePt" dir="t"/>
            </a:scene3d>
            <a:sp3d>
              <a:bevelT h="19050"/>
            </a:sp3d>
          </c:spPr>
          <c:invertIfNegative val="0"/>
          <c:dLbls>
            <c:delete val="1"/>
          </c:dLbls>
          <c:val>
            <c:numRef>
              <c:f>'October calculations'!$F$402:$G$402</c:f>
              <c:numCache>
                <c:formatCode>0%</c:formatCode>
                <c:ptCount val="2"/>
                <c:pt idx="0">
                  <c:v>0.75</c:v>
                </c:pt>
                <c:pt idx="1">
                  <c:v>0.71875</c:v>
                </c:pt>
              </c:numCache>
            </c:numRef>
          </c:val>
          <c:extLst>
            <c:ext xmlns:c15="http://schemas.microsoft.com/office/drawing/2012/chart" uri="{02D57815-91ED-43cb-92C2-25804820EDAC}">
              <c15:filteredSeriesTitle>
                <c15:tx>
                  <c:strRef>
                    <c:extLst>
                      <c:ext uri="{02D57815-91ED-43cb-92C2-25804820EDAC}">
                        <c15:formulaRef>
                          <c15:sqref>'October calculations'!$E$402</c15:sqref>
                        </c15:formulaRef>
                      </c:ext>
                    </c:extLst>
                    <c:strCache>
                      <c:ptCount val="1"/>
                      <c:pt idx="0">
                        <c:v>No</c:v>
                      </c:pt>
                    </c:strCache>
                  </c:strRef>
                </c15:tx>
              </c15:filteredSeriesTitle>
            </c:ext>
            <c:ext xmlns:c15="http://schemas.microsoft.com/office/drawing/2012/chart" uri="{02D57815-91ED-43cb-92C2-25804820EDAC}">
              <c15:filteredCategoryTitle>
                <c15:cat>
                  <c:strRef>
                    <c:extLst>
                      <c:ext uri="{02D57815-91ED-43cb-92C2-25804820EDAC}">
                        <c15:formulaRef>
                          <c15:sqref>'October calculations'!$F$400:$G$400</c15:sqref>
                        </c15:formulaRef>
                      </c:ext>
                    </c:extLst>
                    <c:strCache>
                      <c:ptCount val="2"/>
                      <c:pt idx="0">
                        <c:v>Apr 2017</c:v>
                      </c:pt>
                      <c:pt idx="1">
                        <c:v>Nov 2017</c:v>
                      </c:pt>
                    </c:strCache>
                  </c:strRef>
                </c15:cat>
              </c15:filteredCategoryTitle>
            </c:ext>
            <c:ext xmlns:c16="http://schemas.microsoft.com/office/drawing/2014/chart" uri="{C3380CC4-5D6E-409C-BE32-E72D297353CC}">
              <c16:uniqueId val="{00000001-6223-4383-A94D-904FA81E513B}"/>
            </c:ext>
          </c:extLst>
        </c:ser>
        <c:dLbls>
          <c:showLegendKey val="0"/>
          <c:showVal val="1"/>
          <c:showCatName val="0"/>
          <c:showSerName val="0"/>
          <c:showPercent val="0"/>
          <c:showBubbleSize val="0"/>
        </c:dLbls>
        <c:gapWidth val="60"/>
        <c:overlap val="100"/>
        <c:axId val="1829164016"/>
        <c:axId val="1742261216"/>
      </c:barChart>
      <c:catAx>
        <c:axId val="18291640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t" anchorCtr="1"/>
          <a:lstStyle/>
          <a:p>
            <a:pPr>
              <a:defRPr sz="1200" b="1" i="0" u="none" strike="noStrike" kern="1200" baseline="0">
                <a:solidFill>
                  <a:schemeClr val="tx1">
                    <a:lumMod val="65000"/>
                    <a:lumOff val="35000"/>
                  </a:schemeClr>
                </a:solidFill>
                <a:latin typeface="+mn-lt"/>
                <a:ea typeface="+mn-ea"/>
                <a:cs typeface="+mn-cs"/>
              </a:defRPr>
            </a:pPr>
            <a:endParaRPr lang="en-US"/>
          </a:p>
        </c:txPr>
        <c:crossAx val="1742261216"/>
        <c:crossesAt val="0"/>
        <c:auto val="0"/>
        <c:lblAlgn val="ctr"/>
        <c:lblOffset val="0"/>
        <c:noMultiLvlLbl val="0"/>
      </c:catAx>
      <c:valAx>
        <c:axId val="1742261216"/>
        <c:scaling>
          <c:orientation val="minMax"/>
        </c:scaling>
        <c:delete val="1"/>
        <c:axPos val="l"/>
        <c:majorGridlines>
          <c:spPr>
            <a:ln w="19050" cap="flat" cmpd="sng" algn="ctr">
              <a:solidFill>
                <a:schemeClr val="tx1">
                  <a:lumMod val="15000"/>
                  <a:lumOff val="85000"/>
                </a:schemeClr>
              </a:solidFill>
              <a:round/>
            </a:ln>
            <a:effectLst/>
          </c:spPr>
        </c:majorGridlines>
        <c:minorGridlines>
          <c:spPr>
            <a:ln w="28575" cap="flat" cmpd="sng" algn="ctr">
              <a:solidFill>
                <a:schemeClr val="tx1">
                  <a:lumMod val="5000"/>
                  <a:lumOff val="95000"/>
                </a:schemeClr>
              </a:solidFill>
              <a:round/>
            </a:ln>
            <a:effectLst/>
          </c:spPr>
        </c:minorGridlines>
        <c:numFmt formatCode="0%" sourceLinked="1"/>
        <c:majorTickMark val="cross"/>
        <c:minorTickMark val="in"/>
        <c:tickLblPos val="nextTo"/>
        <c:crossAx val="1829164016"/>
        <c:crosses val="autoZero"/>
        <c:crossBetween val="between"/>
        <c:majorUnit val="0.1"/>
        <c:minorUnit val="5.000000000000001E-2"/>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a:outerShdw blurRad="50800" dist="127000" dir="2700000" algn="tl" rotWithShape="0">
        <a:prstClr val="black">
          <a:alpha val="40000"/>
        </a:prstClr>
      </a:outerShdw>
    </a:effectLst>
    <a:scene3d>
      <a:camera prst="orthographicFront"/>
      <a:lightRig rig="threePt" dir="t"/>
    </a:scene3d>
    <a:sp3d prstMaterial="matte">
      <a:bevelT/>
    </a:sp3d>
  </c:spPr>
  <c:txPr>
    <a:bodyPr/>
    <a:lstStyle/>
    <a:p>
      <a:pPr>
        <a:defRPr/>
      </a:pPr>
      <a:endParaRPr lang="en-US"/>
    </a:p>
  </c:txPr>
  <c:externalData r:id="rId4">
    <c:autoUpdate val="0"/>
  </c:externalData>
  <c:extLst/>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0"/>
          <a:lstStyle/>
          <a:p>
            <a:pPr algn="ctr" rtl="0">
              <a:defRPr lang="en-GB" sz="1200" b="1" i="0" u="none" strike="noStrike" kern="1200" cap="none" spc="0" baseline="0">
                <a:solidFill>
                  <a:sysClr val="windowText" lastClr="000000">
                    <a:lumMod val="65000"/>
                    <a:lumOff val="35000"/>
                  </a:sysClr>
                </a:solidFill>
                <a:latin typeface="+mn-lt"/>
                <a:ea typeface="+mn-ea"/>
                <a:cs typeface="+mn-cs"/>
              </a:defRPr>
            </a:pPr>
            <a:r>
              <a:rPr lang="en-GB" sz="1200" b="1" i="0" u="none" strike="noStrike" kern="1200" cap="none" spc="0" baseline="0">
                <a:solidFill>
                  <a:sysClr val="windowText" lastClr="000000">
                    <a:lumMod val="65000"/>
                    <a:lumOff val="35000"/>
                  </a:sysClr>
                </a:solidFill>
                <a:latin typeface="+mn-lt"/>
                <a:ea typeface="+mn-ea"/>
                <a:cs typeface="+mn-cs"/>
              </a:rPr>
              <a:t>England S167 Intent</a:t>
            </a:r>
          </a:p>
        </c:rich>
      </c:tx>
      <c:layout>
        <c:manualLayout>
          <c:xMode val="edge"/>
          <c:yMode val="edge"/>
          <c:x val="0.30251353063625669"/>
          <c:y val="2.2409136671449951E-2"/>
        </c:manualLayout>
      </c:layout>
      <c:overlay val="0"/>
      <c:spPr>
        <a:solidFill>
          <a:schemeClr val="bg1"/>
        </a:solidFill>
        <a:ln>
          <a:noFill/>
        </a:ln>
        <a:effectLst/>
      </c:spPr>
      <c:txPr>
        <a:bodyPr rot="0" spcFirstLastPara="1" vertOverflow="ellipsis" vert="horz" wrap="square" anchor="ctr" anchorCtr="0"/>
        <a:lstStyle/>
        <a:p>
          <a:pPr algn="ctr" rtl="0">
            <a:defRPr lang="en-GB" sz="1200" b="1" i="0" u="none" strike="noStrike" kern="1200" cap="none" spc="0" baseline="0">
              <a:solidFill>
                <a:sysClr val="windowText" lastClr="000000">
                  <a:lumMod val="65000"/>
                  <a:lumOff val="35000"/>
                </a:sysClr>
              </a:solidFill>
              <a:latin typeface="+mn-lt"/>
              <a:ea typeface="+mn-ea"/>
              <a:cs typeface="+mn-cs"/>
            </a:defRPr>
          </a:pPr>
          <a:endParaRPr lang="en-US"/>
        </a:p>
      </c:txPr>
    </c:title>
    <c:autoTitleDeleted val="0"/>
    <c:pivotFmts>
      <c:pivotFmt>
        <c:idx val="0"/>
        <c:spPr>
          <a:solidFill>
            <a:schemeClr val="accent1"/>
          </a:solidFill>
          <a:ln>
            <a:noFill/>
          </a:ln>
          <a:effectLst/>
        </c:spPr>
        <c:marker>
          <c:symbol val="none"/>
        </c:marker>
      </c:pivotFmt>
      <c:pivotFmt>
        <c:idx val="1"/>
        <c:spPr>
          <a:solidFill>
            <a:schemeClr val="accent1"/>
          </a:solidFill>
          <a:ln>
            <a:noFill/>
          </a:ln>
          <a:effectLst/>
        </c:spPr>
        <c:marker>
          <c:symbol val="none"/>
        </c:marker>
      </c:pivotFmt>
      <c:pivotFmt>
        <c:idx val="2"/>
        <c:spPr>
          <a:solidFill>
            <a:schemeClr val="accent1"/>
          </a:solidFill>
          <a:ln>
            <a:noFill/>
          </a:ln>
          <a:effectLst/>
        </c:spPr>
        <c:marker>
          <c:symbol val="none"/>
        </c:marker>
      </c:pivotFmt>
      <c:pivotFmt>
        <c:idx val="3"/>
        <c:spPr>
          <a:solidFill>
            <a:schemeClr val="accent1"/>
          </a:solidFill>
          <a:ln>
            <a:noFill/>
          </a:ln>
          <a:effectLst/>
        </c:spPr>
        <c:marker>
          <c:symbol val="none"/>
        </c:marker>
      </c:pivotFmt>
      <c:pivotFmt>
        <c:idx val="4"/>
        <c:spPr>
          <a:solidFill>
            <a:schemeClr val="accent1"/>
          </a:solidFill>
          <a:ln>
            <a:noFill/>
          </a:ln>
          <a:effectLst/>
        </c:spPr>
        <c:marker>
          <c:symbol val="none"/>
        </c:marker>
      </c:pivotFmt>
      <c:pivotFmt>
        <c:idx val="5"/>
        <c:spPr>
          <a:solidFill>
            <a:srgbClr val="7DB17A"/>
          </a:solidFill>
          <a:ln>
            <a:noFill/>
          </a:ln>
          <a:effectLst>
            <a:softEdge rad="50800"/>
          </a:effectLst>
          <a:scene3d>
            <a:camera prst="orthographicFront"/>
            <a:lightRig rig="threePt" dir="t"/>
          </a:scene3d>
          <a:sp3d>
            <a:bevelT/>
          </a:sp3d>
        </c:spPr>
        <c:marker>
          <c:symbol val="none"/>
        </c:marker>
        <c:dLbl>
          <c:idx val="0"/>
          <c:spPr>
            <a:noFill/>
            <a:ln>
              <a:noFill/>
            </a:ln>
            <a:effectLst/>
          </c:spPr>
          <c:txPr>
            <a:bodyPr rot="0" spcFirstLastPara="1" vertOverflow="overflow" horzOverflow="overflow" vert="horz" wrap="square" lIns="38100" tIns="19050" rIns="38100" bIns="19050" anchor="t" anchorCtr="1">
              <a:spAutoFit/>
            </a:bodyPr>
            <a:lstStyle/>
            <a:p>
              <a:pPr>
                <a:defRPr sz="1400" b="1" i="0" u="none" strike="noStrike" kern="1200" baseline="0">
                  <a:ln>
                    <a:noFill/>
                  </a:ln>
                  <a:solidFill>
                    <a:schemeClr val="tx1">
                      <a:lumMod val="75000"/>
                      <a:lumOff val="25000"/>
                    </a:schemeClr>
                  </a:solidFill>
                  <a:latin typeface="+mn-lt"/>
                  <a:ea typeface="+mn-ea"/>
                  <a:cs typeface="+mn-cs"/>
                </a:defRPr>
              </a:pPr>
              <a:endParaRPr lang="en-US"/>
            </a:p>
          </c:txPr>
          <c:dLblPos val="inEnd"/>
          <c:showLegendKey val="0"/>
          <c:showVal val="0"/>
          <c:showCatName val="0"/>
          <c:showSerName val="1"/>
          <c:showPercent val="0"/>
          <c:showBubbleSize val="0"/>
          <c:extLst>
            <c:ext xmlns:c15="http://schemas.microsoft.com/office/drawing/2012/chart" uri="{CE6537A1-D6FC-4f65-9D91-7224C49458BB}"/>
          </c:extLst>
        </c:dLbl>
      </c:pivotFmt>
      <c:pivotFmt>
        <c:idx val="6"/>
        <c:spPr>
          <a:solidFill>
            <a:srgbClr val="C1FFC1"/>
          </a:solidFill>
          <a:ln>
            <a:noFill/>
          </a:ln>
          <a:effectLst/>
          <a:scene3d>
            <a:camera prst="orthographicFront"/>
            <a:lightRig rig="threePt" dir="t"/>
          </a:scene3d>
          <a:sp3d>
            <a:bevel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mn-lt"/>
                  <a:ea typeface="+mn-ea"/>
                  <a:cs typeface="+mn-cs"/>
                </a:defRPr>
              </a:pPr>
              <a:endParaRPr lang="en-US"/>
            </a:p>
          </c:txPr>
          <c:dLblPos val="inEnd"/>
          <c:showLegendKey val="0"/>
          <c:showVal val="0"/>
          <c:showCatName val="0"/>
          <c:showSerName val="1"/>
          <c:showPercent val="0"/>
          <c:showBubbleSize val="0"/>
          <c:extLst>
            <c:ext xmlns:c15="http://schemas.microsoft.com/office/drawing/2012/chart" uri="{CE6537A1-D6FC-4f65-9D91-7224C49458BB}"/>
          </c:extLst>
        </c:dLbl>
      </c:pivotFmt>
      <c:pivotFmt>
        <c:idx val="7"/>
        <c:spPr>
          <a:solidFill>
            <a:srgbClr val="FFFF66"/>
          </a:solidFill>
          <a:ln>
            <a:noFill/>
          </a:ln>
          <a:effectLst/>
          <a:scene3d>
            <a:camera prst="orthographicFront"/>
            <a:lightRig rig="threePt" dir="t"/>
          </a:scene3d>
          <a:sp3d>
            <a:bevel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mn-lt"/>
                  <a:ea typeface="+mn-ea"/>
                  <a:cs typeface="+mn-cs"/>
                </a:defRPr>
              </a:pPr>
              <a:endParaRPr lang="en-US"/>
            </a:p>
          </c:txPr>
          <c:dLblPos val="inEnd"/>
          <c:showLegendKey val="0"/>
          <c:showVal val="0"/>
          <c:showCatName val="0"/>
          <c:showSerName val="1"/>
          <c:showPercent val="0"/>
          <c:showBubbleSize val="0"/>
          <c:extLst>
            <c:ext xmlns:c15="http://schemas.microsoft.com/office/drawing/2012/chart" uri="{CE6537A1-D6FC-4f65-9D91-7224C49458BB}"/>
          </c:extLst>
        </c:dLbl>
      </c:pivotFmt>
      <c:pivotFmt>
        <c:idx val="8"/>
        <c:spPr>
          <a:solidFill>
            <a:srgbClr val="FFC267"/>
          </a:solidFill>
          <a:ln>
            <a:noFill/>
          </a:ln>
          <a:effectLst/>
          <a:scene3d>
            <a:camera prst="orthographicFront"/>
            <a:lightRig rig="threePt" dir="t"/>
          </a:scene3d>
          <a:sp3d>
            <a:bevel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mn-lt"/>
                  <a:ea typeface="+mn-ea"/>
                  <a:cs typeface="+mn-cs"/>
                </a:defRPr>
              </a:pPr>
              <a:endParaRPr lang="en-US"/>
            </a:p>
          </c:txPr>
          <c:dLblPos val="inEnd"/>
          <c:showLegendKey val="0"/>
          <c:showVal val="0"/>
          <c:showCatName val="0"/>
          <c:showSerName val="1"/>
          <c:showPercent val="0"/>
          <c:showBubbleSize val="0"/>
          <c:extLst>
            <c:ext xmlns:c15="http://schemas.microsoft.com/office/drawing/2012/chart" uri="{CE6537A1-D6FC-4f65-9D91-7224C49458BB}"/>
          </c:extLst>
        </c:dLbl>
      </c:pivotFmt>
      <c:pivotFmt>
        <c:idx val="9"/>
        <c:spPr>
          <a:solidFill>
            <a:srgbClr val="FF7D67"/>
          </a:solidFill>
          <a:ln>
            <a:noFill/>
          </a:ln>
          <a:effectLst/>
          <a:scene3d>
            <a:camera prst="orthographicFront"/>
            <a:lightRig rig="threePt" dir="t"/>
          </a:scene3d>
          <a:sp3d>
            <a:bevel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mn-lt"/>
                  <a:ea typeface="+mn-ea"/>
                  <a:cs typeface="+mn-cs"/>
                </a:defRPr>
              </a:pPr>
              <a:endParaRPr lang="en-US"/>
            </a:p>
          </c:txPr>
          <c:dLblPos val="inEnd"/>
          <c:showLegendKey val="0"/>
          <c:showVal val="0"/>
          <c:showCatName val="0"/>
          <c:showSerName val="1"/>
          <c:showPercent val="0"/>
          <c:showBubbleSize val="0"/>
          <c:extLst>
            <c:ext xmlns:c15="http://schemas.microsoft.com/office/drawing/2012/chart" uri="{CE6537A1-D6FC-4f65-9D91-7224C49458BB}"/>
          </c:extLst>
        </c:dLbl>
      </c:pivotFmt>
      <c:pivotFmt>
        <c:idx val="10"/>
        <c:spPr>
          <a:solidFill>
            <a:srgbClr val="7DB17A"/>
          </a:solidFill>
          <a:ln>
            <a:noFill/>
          </a:ln>
          <a:effectLst>
            <a:softEdge rad="50800"/>
          </a:effectLst>
          <a:scene3d>
            <a:camera prst="orthographicFront"/>
            <a:lightRig rig="threePt" dir="t"/>
          </a:scene3d>
          <a:sp3d>
            <a:bevelT/>
          </a:sp3d>
        </c:spPr>
      </c:pivotFmt>
      <c:pivotFmt>
        <c:idx val="11"/>
        <c:spPr>
          <a:solidFill>
            <a:srgbClr val="7DB17A"/>
          </a:solidFill>
          <a:ln>
            <a:noFill/>
          </a:ln>
          <a:effectLst>
            <a:softEdge rad="50800"/>
          </a:effectLst>
          <a:scene3d>
            <a:camera prst="orthographicFront"/>
            <a:lightRig rig="threePt" dir="t"/>
          </a:scene3d>
          <a:sp3d>
            <a:bevelT/>
          </a:sp3d>
        </c:spPr>
      </c:pivotFmt>
      <c:pivotFmt>
        <c:idx val="12"/>
        <c:spPr>
          <a:solidFill>
            <a:srgbClr val="7DB17A"/>
          </a:solidFill>
          <a:ln>
            <a:noFill/>
          </a:ln>
          <a:effectLst>
            <a:softEdge rad="50800"/>
          </a:effectLst>
          <a:scene3d>
            <a:camera prst="orthographicFront"/>
            <a:lightRig rig="threePt" dir="t"/>
          </a:scene3d>
          <a:sp3d>
            <a:bevelT/>
          </a:sp3d>
        </c:spPr>
      </c:pivotFmt>
      <c:pivotFmt>
        <c:idx val="13"/>
        <c:spPr>
          <a:solidFill>
            <a:srgbClr val="7DB17A"/>
          </a:solidFill>
          <a:ln>
            <a:noFill/>
          </a:ln>
          <a:effectLst>
            <a:softEdge rad="50800"/>
          </a:effectLst>
          <a:scene3d>
            <a:camera prst="orthographicFront"/>
            <a:lightRig rig="threePt" dir="t"/>
          </a:scene3d>
          <a:sp3d>
            <a:bevelT/>
          </a:sp3d>
        </c:spPr>
      </c:pivotFmt>
      <c:pivotFmt>
        <c:idx val="14"/>
        <c:spPr>
          <a:solidFill>
            <a:srgbClr val="7DB17A"/>
          </a:solidFill>
          <a:ln>
            <a:noFill/>
          </a:ln>
          <a:effectLst>
            <a:softEdge rad="50800"/>
          </a:effectLst>
          <a:scene3d>
            <a:camera prst="orthographicFront"/>
            <a:lightRig rig="threePt" dir="t"/>
          </a:scene3d>
          <a:sp3d>
            <a:bevelT/>
          </a:sp3d>
        </c:spPr>
      </c:pivotFmt>
      <c:pivotFmt>
        <c:idx val="15"/>
        <c:spPr>
          <a:solidFill>
            <a:srgbClr val="7DB17A"/>
          </a:solidFill>
          <a:ln>
            <a:noFill/>
          </a:ln>
          <a:effectLst>
            <a:softEdge rad="50800"/>
          </a:effectLst>
          <a:scene3d>
            <a:camera prst="orthographicFront"/>
            <a:lightRig rig="threePt" dir="t"/>
          </a:scene3d>
          <a:sp3d>
            <a:bevelT/>
          </a:sp3d>
        </c:spPr>
      </c:pivotFmt>
      <c:pivotFmt>
        <c:idx val="16"/>
        <c:spPr>
          <a:solidFill>
            <a:srgbClr val="7DB17A"/>
          </a:solidFill>
          <a:ln>
            <a:noFill/>
          </a:ln>
          <a:effectLst>
            <a:outerShdw blurRad="50800" dist="38100" dir="2700000" algn="tl" rotWithShape="0">
              <a:prstClr val="black">
                <a:alpha val="40000"/>
              </a:prstClr>
            </a:outerShdw>
          </a:effectLst>
          <a:scene3d>
            <a:camera prst="orthographicFront"/>
            <a:lightRig rig="threePt" dir="t"/>
          </a:scene3d>
          <a:sp3d>
            <a:bevelT h="19050"/>
          </a:sp3d>
        </c:spPr>
        <c:marker>
          <c:symbol val="none"/>
        </c:marker>
        <c:dLbl>
          <c:idx val="0"/>
          <c:spPr>
            <a:noFill/>
            <a:ln>
              <a:noFill/>
            </a:ln>
            <a:effectLst/>
          </c:spPr>
          <c:txPr>
            <a:bodyPr rot="0" spcFirstLastPara="1" vertOverflow="overflow" horzOverflow="overflow" vert="horz" wrap="square" lIns="38100" tIns="19050" rIns="38100" bIns="19050" anchor="t" anchorCtr="1">
              <a:spAutoFit/>
            </a:bodyPr>
            <a:lstStyle/>
            <a:p>
              <a:pPr>
                <a:defRPr sz="1400" b="1" i="0" u="none" strike="noStrike" kern="1200" baseline="0">
                  <a:ln>
                    <a:noFill/>
                  </a:ln>
                  <a:solidFill>
                    <a:schemeClr val="tx1">
                      <a:lumMod val="75000"/>
                      <a:lumOff val="25000"/>
                    </a:schemeClr>
                  </a:solidFill>
                  <a:latin typeface="+mn-lt"/>
                  <a:ea typeface="+mn-ea"/>
                  <a:cs typeface="+mn-cs"/>
                </a:defRPr>
              </a:pPr>
              <a:endParaRPr lang="en-US"/>
            </a:p>
          </c:txPr>
          <c:dLblPos val="inEnd"/>
          <c:showLegendKey val="0"/>
          <c:showVal val="0"/>
          <c:showCatName val="0"/>
          <c:showSerName val="1"/>
          <c:showPercent val="0"/>
          <c:showBubbleSize val="0"/>
          <c:extLst>
            <c:ext xmlns:c15="http://schemas.microsoft.com/office/drawing/2012/chart" uri="{CE6537A1-D6FC-4f65-9D91-7224C49458BB}"/>
          </c:extLst>
        </c:dLbl>
      </c:pivotFmt>
      <c:pivotFmt>
        <c:idx val="17"/>
        <c:spPr>
          <a:solidFill>
            <a:srgbClr val="C1FFC1"/>
          </a:solidFill>
          <a:ln>
            <a:noFill/>
          </a:ln>
          <a:effectLst>
            <a:outerShdw blurRad="50800" dist="38100" dir="2700000" algn="tl" rotWithShape="0">
              <a:prstClr val="black">
                <a:alpha val="40000"/>
              </a:prstClr>
            </a:outerShdw>
          </a:effectLst>
          <a:scene3d>
            <a:camera prst="orthographicFront"/>
            <a:lightRig rig="threePt" dir="t"/>
          </a:scene3d>
          <a:sp3d>
            <a:bevelT h="1905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mn-lt"/>
                  <a:ea typeface="+mn-ea"/>
                  <a:cs typeface="+mn-cs"/>
                </a:defRPr>
              </a:pPr>
              <a:endParaRPr lang="en-US"/>
            </a:p>
          </c:txPr>
          <c:dLblPos val="inEnd"/>
          <c:showLegendKey val="0"/>
          <c:showVal val="0"/>
          <c:showCatName val="0"/>
          <c:showSerName val="1"/>
          <c:showPercent val="0"/>
          <c:showBubbleSize val="0"/>
          <c:extLst>
            <c:ext xmlns:c15="http://schemas.microsoft.com/office/drawing/2012/chart" uri="{CE6537A1-D6FC-4f65-9D91-7224C49458BB}"/>
          </c:extLst>
        </c:dLbl>
      </c:pivotFmt>
      <c:pivotFmt>
        <c:idx val="18"/>
        <c:spPr>
          <a:solidFill>
            <a:srgbClr val="FFFF66"/>
          </a:solidFill>
          <a:ln>
            <a:noFill/>
          </a:ln>
          <a:effectLst>
            <a:outerShdw blurRad="50800" dist="38100" dir="2700000" algn="tl" rotWithShape="0">
              <a:prstClr val="black">
                <a:alpha val="40000"/>
              </a:prstClr>
            </a:outerShdw>
          </a:effectLst>
          <a:scene3d>
            <a:camera prst="orthographicFront"/>
            <a:lightRig rig="threePt" dir="t"/>
          </a:scene3d>
          <a:sp3d>
            <a:bevelT h="1905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mn-lt"/>
                  <a:ea typeface="+mn-ea"/>
                  <a:cs typeface="+mn-cs"/>
                </a:defRPr>
              </a:pPr>
              <a:endParaRPr lang="en-US"/>
            </a:p>
          </c:txPr>
          <c:dLblPos val="inEnd"/>
          <c:showLegendKey val="0"/>
          <c:showVal val="0"/>
          <c:showCatName val="0"/>
          <c:showSerName val="1"/>
          <c:showPercent val="0"/>
          <c:showBubbleSize val="0"/>
          <c:extLst>
            <c:ext xmlns:c15="http://schemas.microsoft.com/office/drawing/2012/chart" uri="{CE6537A1-D6FC-4f65-9D91-7224C49458BB}"/>
          </c:extLst>
        </c:dLbl>
      </c:pivotFmt>
      <c:pivotFmt>
        <c:idx val="19"/>
        <c:spPr>
          <a:solidFill>
            <a:srgbClr val="FFC267"/>
          </a:solidFill>
          <a:ln>
            <a:noFill/>
          </a:ln>
          <a:effectLst>
            <a:outerShdw blurRad="50800" dist="38100" dir="2700000" algn="tl" rotWithShape="0">
              <a:prstClr val="black">
                <a:alpha val="40000"/>
              </a:prstClr>
            </a:outerShdw>
          </a:effectLst>
          <a:scene3d>
            <a:camera prst="orthographicFront"/>
            <a:lightRig rig="threePt" dir="t"/>
          </a:scene3d>
          <a:sp3d>
            <a:bevelT h="1905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mn-lt"/>
                  <a:ea typeface="+mn-ea"/>
                  <a:cs typeface="+mn-cs"/>
                </a:defRPr>
              </a:pPr>
              <a:endParaRPr lang="en-US"/>
            </a:p>
          </c:txPr>
          <c:dLblPos val="inEnd"/>
          <c:showLegendKey val="0"/>
          <c:showVal val="0"/>
          <c:showCatName val="0"/>
          <c:showSerName val="1"/>
          <c:showPercent val="0"/>
          <c:showBubbleSize val="0"/>
          <c:extLst>
            <c:ext xmlns:c15="http://schemas.microsoft.com/office/drawing/2012/chart" uri="{CE6537A1-D6FC-4f65-9D91-7224C49458BB}"/>
          </c:extLst>
        </c:dLbl>
      </c:pivotFmt>
      <c:pivotFmt>
        <c:idx val="20"/>
        <c:spPr>
          <a:solidFill>
            <a:srgbClr val="FF7D67"/>
          </a:solidFill>
          <a:ln>
            <a:noFill/>
          </a:ln>
          <a:effectLst>
            <a:outerShdw blurRad="50800" dist="38100" dir="2700000" algn="tl" rotWithShape="0">
              <a:prstClr val="black">
                <a:alpha val="40000"/>
              </a:prstClr>
            </a:outerShdw>
          </a:effectLst>
          <a:scene3d>
            <a:camera prst="orthographicFront"/>
            <a:lightRig rig="threePt" dir="t"/>
          </a:scene3d>
          <a:sp3d>
            <a:bevelT h="1905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mn-lt"/>
                  <a:ea typeface="+mn-ea"/>
                  <a:cs typeface="+mn-cs"/>
                </a:defRPr>
              </a:pPr>
              <a:endParaRPr lang="en-US"/>
            </a:p>
          </c:txPr>
          <c:dLblPos val="inEnd"/>
          <c:showLegendKey val="0"/>
          <c:showVal val="0"/>
          <c:showCatName val="0"/>
          <c:showSerName val="1"/>
          <c:showPercent val="0"/>
          <c:showBubbleSize val="0"/>
          <c:extLst>
            <c:ext xmlns:c15="http://schemas.microsoft.com/office/drawing/2012/chart" uri="{CE6537A1-D6FC-4f65-9D91-7224C49458BB}"/>
          </c:extLst>
        </c:dLbl>
      </c:pivotFmt>
      <c:pivotFmt>
        <c:idx val="21"/>
        <c:spPr>
          <a:solidFill>
            <a:srgbClr val="7DB17A"/>
          </a:solidFill>
          <a:ln>
            <a:noFill/>
          </a:ln>
          <a:effectLst>
            <a:outerShdw blurRad="50800" dist="38100" dir="2700000" algn="tl" rotWithShape="0">
              <a:prstClr val="black">
                <a:alpha val="40000"/>
              </a:prstClr>
            </a:outerShdw>
          </a:effectLst>
          <a:scene3d>
            <a:camera prst="orthographicFront"/>
            <a:lightRig rig="threePt" dir="t"/>
          </a:scene3d>
          <a:sp3d>
            <a:bevelT h="19050"/>
          </a:sp3d>
        </c:spPr>
        <c:marker>
          <c:symbol val="none"/>
        </c:marker>
        <c:dLbl>
          <c:idx val="0"/>
          <c:spPr>
            <a:noFill/>
            <a:ln>
              <a:noFill/>
            </a:ln>
            <a:effectLst/>
          </c:spPr>
          <c:txPr>
            <a:bodyPr rot="0" spcFirstLastPara="1" vertOverflow="overflow" horzOverflow="overflow" vert="horz" wrap="square" lIns="38100" tIns="19050" rIns="38100" bIns="19050" anchor="t" anchorCtr="1">
              <a:spAutoFit/>
            </a:bodyPr>
            <a:lstStyle/>
            <a:p>
              <a:pPr>
                <a:defRPr sz="1400" b="1" i="0" u="none" strike="noStrike" kern="1200" baseline="0">
                  <a:ln>
                    <a:noFill/>
                  </a:ln>
                  <a:solidFill>
                    <a:schemeClr val="tx1">
                      <a:lumMod val="75000"/>
                      <a:lumOff val="25000"/>
                    </a:schemeClr>
                  </a:solidFill>
                  <a:latin typeface="+mn-lt"/>
                  <a:ea typeface="+mn-ea"/>
                  <a:cs typeface="+mn-cs"/>
                </a:defRPr>
              </a:pPr>
              <a:endParaRPr lang="en-US"/>
            </a:p>
          </c:txPr>
          <c:dLblPos val="inEnd"/>
          <c:showLegendKey val="0"/>
          <c:showVal val="0"/>
          <c:showCatName val="0"/>
          <c:showSerName val="1"/>
          <c:showPercent val="0"/>
          <c:showBubbleSize val="0"/>
          <c:extLst>
            <c:ext xmlns:c15="http://schemas.microsoft.com/office/drawing/2012/chart" uri="{CE6537A1-D6FC-4f65-9D91-7224C49458BB}"/>
          </c:extLst>
        </c:dLbl>
      </c:pivotFmt>
      <c:pivotFmt>
        <c:idx val="22"/>
        <c:spPr>
          <a:solidFill>
            <a:srgbClr val="C1FFC1"/>
          </a:solidFill>
          <a:ln>
            <a:noFill/>
          </a:ln>
          <a:effectLst>
            <a:outerShdw blurRad="50800" dist="38100" dir="2700000" algn="tl" rotWithShape="0">
              <a:prstClr val="black">
                <a:alpha val="40000"/>
              </a:prstClr>
            </a:outerShdw>
          </a:effectLst>
          <a:scene3d>
            <a:camera prst="orthographicFront"/>
            <a:lightRig rig="threePt" dir="t"/>
          </a:scene3d>
          <a:sp3d>
            <a:bevelT h="1905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mn-lt"/>
                  <a:ea typeface="+mn-ea"/>
                  <a:cs typeface="+mn-cs"/>
                </a:defRPr>
              </a:pPr>
              <a:endParaRPr lang="en-US"/>
            </a:p>
          </c:txPr>
          <c:dLblPos val="inEnd"/>
          <c:showLegendKey val="0"/>
          <c:showVal val="0"/>
          <c:showCatName val="0"/>
          <c:showSerName val="1"/>
          <c:showPercent val="0"/>
          <c:showBubbleSize val="0"/>
          <c:extLst>
            <c:ext xmlns:c15="http://schemas.microsoft.com/office/drawing/2012/chart" uri="{CE6537A1-D6FC-4f65-9D91-7224C49458BB}"/>
          </c:extLst>
        </c:dLbl>
      </c:pivotFmt>
      <c:pivotFmt>
        <c:idx val="23"/>
        <c:spPr>
          <a:solidFill>
            <a:srgbClr val="FFFF66"/>
          </a:solidFill>
          <a:ln>
            <a:noFill/>
          </a:ln>
          <a:effectLst>
            <a:outerShdw blurRad="50800" dist="38100" dir="2700000" algn="tl" rotWithShape="0">
              <a:prstClr val="black">
                <a:alpha val="40000"/>
              </a:prstClr>
            </a:outerShdw>
          </a:effectLst>
          <a:scene3d>
            <a:camera prst="orthographicFront"/>
            <a:lightRig rig="threePt" dir="t"/>
          </a:scene3d>
          <a:sp3d>
            <a:bevelT h="1905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mn-lt"/>
                  <a:ea typeface="+mn-ea"/>
                  <a:cs typeface="+mn-cs"/>
                </a:defRPr>
              </a:pPr>
              <a:endParaRPr lang="en-US"/>
            </a:p>
          </c:txPr>
          <c:dLblPos val="inEnd"/>
          <c:showLegendKey val="0"/>
          <c:showVal val="0"/>
          <c:showCatName val="0"/>
          <c:showSerName val="1"/>
          <c:showPercent val="0"/>
          <c:showBubbleSize val="0"/>
          <c:extLst>
            <c:ext xmlns:c15="http://schemas.microsoft.com/office/drawing/2012/chart" uri="{CE6537A1-D6FC-4f65-9D91-7224C49458BB}"/>
          </c:extLst>
        </c:dLbl>
      </c:pivotFmt>
      <c:pivotFmt>
        <c:idx val="24"/>
        <c:spPr>
          <a:solidFill>
            <a:srgbClr val="FFC267"/>
          </a:solidFill>
          <a:ln>
            <a:noFill/>
          </a:ln>
          <a:effectLst>
            <a:outerShdw blurRad="50800" dist="38100" dir="2700000" algn="tl" rotWithShape="0">
              <a:prstClr val="black">
                <a:alpha val="40000"/>
              </a:prstClr>
            </a:outerShdw>
          </a:effectLst>
          <a:scene3d>
            <a:camera prst="orthographicFront"/>
            <a:lightRig rig="threePt" dir="t"/>
          </a:scene3d>
          <a:sp3d>
            <a:bevelT h="1905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mn-lt"/>
                  <a:ea typeface="+mn-ea"/>
                  <a:cs typeface="+mn-cs"/>
                </a:defRPr>
              </a:pPr>
              <a:endParaRPr lang="en-US"/>
            </a:p>
          </c:txPr>
          <c:dLblPos val="inEnd"/>
          <c:showLegendKey val="0"/>
          <c:showVal val="0"/>
          <c:showCatName val="0"/>
          <c:showSerName val="1"/>
          <c:showPercent val="0"/>
          <c:showBubbleSize val="0"/>
          <c:extLst>
            <c:ext xmlns:c15="http://schemas.microsoft.com/office/drawing/2012/chart" uri="{CE6537A1-D6FC-4f65-9D91-7224C49458BB}"/>
          </c:extLst>
        </c:dLbl>
      </c:pivotFmt>
      <c:pivotFmt>
        <c:idx val="25"/>
        <c:spPr>
          <a:solidFill>
            <a:srgbClr val="FF7D67"/>
          </a:solidFill>
          <a:ln>
            <a:noFill/>
          </a:ln>
          <a:effectLst>
            <a:outerShdw blurRad="50800" dist="38100" dir="2700000" algn="tl" rotWithShape="0">
              <a:prstClr val="black">
                <a:alpha val="40000"/>
              </a:prstClr>
            </a:outerShdw>
          </a:effectLst>
          <a:scene3d>
            <a:camera prst="orthographicFront"/>
            <a:lightRig rig="threePt" dir="t"/>
          </a:scene3d>
          <a:sp3d>
            <a:bevelT h="1905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mn-lt"/>
                  <a:ea typeface="+mn-ea"/>
                  <a:cs typeface="+mn-cs"/>
                </a:defRPr>
              </a:pPr>
              <a:endParaRPr lang="en-US"/>
            </a:p>
          </c:txPr>
          <c:dLblPos val="inEnd"/>
          <c:showLegendKey val="0"/>
          <c:showVal val="0"/>
          <c:showCatName val="0"/>
          <c:showSerName val="1"/>
          <c:showPercent val="0"/>
          <c:showBubbleSize val="0"/>
          <c:extLst>
            <c:ext xmlns:c15="http://schemas.microsoft.com/office/drawing/2012/chart" uri="{CE6537A1-D6FC-4f65-9D91-7224C49458BB}"/>
          </c:extLst>
        </c:dLbl>
      </c:pivotFmt>
      <c:pivotFmt>
        <c:idx val="26"/>
        <c:spPr>
          <a:solidFill>
            <a:srgbClr val="7DB17A"/>
          </a:solidFill>
          <a:ln>
            <a:noFill/>
          </a:ln>
          <a:effectLst>
            <a:outerShdw blurRad="50800" dist="38100" dir="2700000" algn="tl" rotWithShape="0">
              <a:prstClr val="black">
                <a:alpha val="40000"/>
              </a:prstClr>
            </a:outerShdw>
          </a:effectLst>
          <a:scene3d>
            <a:camera prst="orthographicFront"/>
            <a:lightRig rig="threePt" dir="t"/>
          </a:scene3d>
          <a:sp3d>
            <a:bevelT h="19050"/>
          </a:sp3d>
        </c:spPr>
        <c:marker>
          <c:symbol val="none"/>
        </c:marker>
        <c:dLbl>
          <c:idx val="0"/>
          <c:spPr>
            <a:noFill/>
            <a:ln>
              <a:noFill/>
            </a:ln>
            <a:effectLst/>
          </c:spPr>
          <c:txPr>
            <a:bodyPr rot="0" spcFirstLastPara="1" vertOverflow="overflow" horzOverflow="overflow" vert="horz" wrap="square" lIns="38100" tIns="19050" rIns="38100" bIns="19050" anchor="t" anchorCtr="1">
              <a:spAutoFit/>
            </a:bodyPr>
            <a:lstStyle/>
            <a:p>
              <a:pPr>
                <a:defRPr sz="1400" b="1" i="0" u="none" strike="noStrike" kern="1200" baseline="0">
                  <a:ln>
                    <a:noFill/>
                  </a:ln>
                  <a:solidFill>
                    <a:schemeClr val="tx1">
                      <a:lumMod val="75000"/>
                      <a:lumOff val="25000"/>
                    </a:schemeClr>
                  </a:solidFill>
                  <a:latin typeface="+mn-lt"/>
                  <a:ea typeface="+mn-ea"/>
                  <a:cs typeface="+mn-cs"/>
                </a:defRPr>
              </a:pPr>
              <a:endParaRPr lang="en-US"/>
            </a:p>
          </c:txPr>
          <c:dLblPos val="inEnd"/>
          <c:showLegendKey val="0"/>
          <c:showVal val="0"/>
          <c:showCatName val="0"/>
          <c:showSerName val="1"/>
          <c:showPercent val="0"/>
          <c:showBubbleSize val="0"/>
          <c:extLst>
            <c:ext xmlns:c15="http://schemas.microsoft.com/office/drawing/2012/chart" uri="{CE6537A1-D6FC-4f65-9D91-7224C49458BB}"/>
          </c:extLst>
        </c:dLbl>
      </c:pivotFmt>
      <c:pivotFmt>
        <c:idx val="27"/>
        <c:spPr>
          <a:solidFill>
            <a:srgbClr val="C1FFC1"/>
          </a:solidFill>
          <a:ln>
            <a:noFill/>
          </a:ln>
          <a:effectLst>
            <a:outerShdw blurRad="50800" dist="38100" dir="2700000" algn="tl" rotWithShape="0">
              <a:prstClr val="black">
                <a:alpha val="40000"/>
              </a:prstClr>
            </a:outerShdw>
          </a:effectLst>
          <a:scene3d>
            <a:camera prst="orthographicFront"/>
            <a:lightRig rig="threePt" dir="t"/>
          </a:scene3d>
          <a:sp3d>
            <a:bevelT h="1905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mn-lt"/>
                  <a:ea typeface="+mn-ea"/>
                  <a:cs typeface="+mn-cs"/>
                </a:defRPr>
              </a:pPr>
              <a:endParaRPr lang="en-US"/>
            </a:p>
          </c:txPr>
          <c:dLblPos val="inEnd"/>
          <c:showLegendKey val="0"/>
          <c:showVal val="0"/>
          <c:showCatName val="0"/>
          <c:showSerName val="1"/>
          <c:showPercent val="0"/>
          <c:showBubbleSize val="0"/>
          <c:extLst>
            <c:ext xmlns:c15="http://schemas.microsoft.com/office/drawing/2012/chart" uri="{CE6537A1-D6FC-4f65-9D91-7224C49458BB}"/>
          </c:extLst>
        </c:dLbl>
      </c:pivotFmt>
      <c:pivotFmt>
        <c:idx val="28"/>
        <c:spPr>
          <a:solidFill>
            <a:srgbClr val="FFFF66"/>
          </a:solidFill>
          <a:ln>
            <a:noFill/>
          </a:ln>
          <a:effectLst>
            <a:outerShdw blurRad="50800" dist="38100" dir="2700000" algn="tl" rotWithShape="0">
              <a:prstClr val="black">
                <a:alpha val="40000"/>
              </a:prstClr>
            </a:outerShdw>
          </a:effectLst>
          <a:scene3d>
            <a:camera prst="orthographicFront"/>
            <a:lightRig rig="threePt" dir="t"/>
          </a:scene3d>
          <a:sp3d>
            <a:bevelT h="1905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mn-lt"/>
                  <a:ea typeface="+mn-ea"/>
                  <a:cs typeface="+mn-cs"/>
                </a:defRPr>
              </a:pPr>
              <a:endParaRPr lang="en-US"/>
            </a:p>
          </c:txPr>
          <c:dLblPos val="inEnd"/>
          <c:showLegendKey val="0"/>
          <c:showVal val="0"/>
          <c:showCatName val="0"/>
          <c:showSerName val="1"/>
          <c:showPercent val="0"/>
          <c:showBubbleSize val="0"/>
          <c:extLst>
            <c:ext xmlns:c15="http://schemas.microsoft.com/office/drawing/2012/chart" uri="{CE6537A1-D6FC-4f65-9D91-7224C49458BB}"/>
          </c:extLst>
        </c:dLbl>
      </c:pivotFmt>
      <c:pivotFmt>
        <c:idx val="29"/>
        <c:spPr>
          <a:solidFill>
            <a:srgbClr val="FFC267"/>
          </a:solidFill>
          <a:ln>
            <a:noFill/>
          </a:ln>
          <a:effectLst>
            <a:outerShdw blurRad="50800" dist="38100" dir="2700000" algn="tl" rotWithShape="0">
              <a:prstClr val="black">
                <a:alpha val="40000"/>
              </a:prstClr>
            </a:outerShdw>
          </a:effectLst>
          <a:scene3d>
            <a:camera prst="orthographicFront"/>
            <a:lightRig rig="threePt" dir="t"/>
          </a:scene3d>
          <a:sp3d>
            <a:bevelT h="1905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mn-lt"/>
                  <a:ea typeface="+mn-ea"/>
                  <a:cs typeface="+mn-cs"/>
                </a:defRPr>
              </a:pPr>
              <a:endParaRPr lang="en-US"/>
            </a:p>
          </c:txPr>
          <c:dLblPos val="inEnd"/>
          <c:showLegendKey val="0"/>
          <c:showVal val="0"/>
          <c:showCatName val="0"/>
          <c:showSerName val="1"/>
          <c:showPercent val="0"/>
          <c:showBubbleSize val="0"/>
          <c:extLst>
            <c:ext xmlns:c15="http://schemas.microsoft.com/office/drawing/2012/chart" uri="{CE6537A1-D6FC-4f65-9D91-7224C49458BB}"/>
          </c:extLst>
        </c:dLbl>
      </c:pivotFmt>
      <c:pivotFmt>
        <c:idx val="30"/>
        <c:spPr>
          <a:solidFill>
            <a:srgbClr val="FF7D67"/>
          </a:solidFill>
          <a:ln>
            <a:noFill/>
          </a:ln>
          <a:effectLst>
            <a:outerShdw blurRad="50800" dist="38100" dir="2700000" algn="tl" rotWithShape="0">
              <a:prstClr val="black">
                <a:alpha val="40000"/>
              </a:prstClr>
            </a:outerShdw>
          </a:effectLst>
          <a:scene3d>
            <a:camera prst="orthographicFront"/>
            <a:lightRig rig="threePt" dir="t"/>
          </a:scene3d>
          <a:sp3d>
            <a:bevelT h="1905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mn-lt"/>
                  <a:ea typeface="+mn-ea"/>
                  <a:cs typeface="+mn-cs"/>
                </a:defRPr>
              </a:pPr>
              <a:endParaRPr lang="en-US"/>
            </a:p>
          </c:txPr>
          <c:dLblPos val="inEnd"/>
          <c:showLegendKey val="0"/>
          <c:showVal val="0"/>
          <c:showCatName val="0"/>
          <c:showSerName val="1"/>
          <c:showPercent val="0"/>
          <c:showBubbleSize val="0"/>
          <c:extLst>
            <c:ext xmlns:c15="http://schemas.microsoft.com/office/drawing/2012/chart" uri="{CE6537A1-D6FC-4f65-9D91-7224C49458BB}"/>
          </c:extLst>
        </c:dLbl>
      </c:pivotFmt>
    </c:pivotFmts>
    <c:plotArea>
      <c:layout>
        <c:manualLayout>
          <c:layoutTarget val="inner"/>
          <c:xMode val="edge"/>
          <c:yMode val="edge"/>
          <c:x val="0.23431803783147792"/>
          <c:y val="8.6113691481074089E-2"/>
          <c:w val="0.69873865766779142"/>
          <c:h val="0.81421747212368778"/>
        </c:manualLayout>
      </c:layout>
      <c:barChart>
        <c:barDir val="col"/>
        <c:grouping val="percentStacked"/>
        <c:varyColors val="0"/>
        <c:ser>
          <c:idx val="0"/>
          <c:order val="0"/>
          <c:spPr>
            <a:solidFill>
              <a:srgbClr val="7DB17A"/>
            </a:solidFill>
            <a:ln>
              <a:noFill/>
            </a:ln>
            <a:effectLst>
              <a:outerShdw blurRad="50800" dist="38100" dir="2700000" algn="tl" rotWithShape="0">
                <a:prstClr val="black">
                  <a:alpha val="40000"/>
                </a:prstClr>
              </a:outerShdw>
            </a:effectLst>
            <a:scene3d>
              <a:camera prst="orthographicFront"/>
              <a:lightRig rig="threePt" dir="t"/>
            </a:scene3d>
            <a:sp3d>
              <a:bevelT h="19050"/>
            </a:sp3d>
          </c:spPr>
          <c:invertIfNegative val="0"/>
          <c:dLbls>
            <c:dLbl>
              <c:idx val="0"/>
              <c:tx>
                <c:rich>
                  <a:bodyPr/>
                  <a:lstStyle/>
                  <a:p>
                    <a:r>
                      <a:rPr lang="en-US"/>
                      <a:t>Yes</a:t>
                    </a:r>
                    <a:r>
                      <a:rPr lang="en-US" baseline="0"/>
                      <a:t>
</a:t>
                    </a:r>
                    <a:fld id="{5802F296-D098-4012-B38A-902A34D737E5}" type="VALUE">
                      <a:rPr lang="en-US" baseline="0"/>
                      <a:pPr/>
                      <a:t>[VALUE]</a:t>
                    </a:fld>
                    <a:endParaRPr lang="en-US" baseline="0"/>
                  </a:p>
                </c:rich>
              </c:tx>
              <c:dLblPos val="inEnd"/>
              <c:showLegendKey val="0"/>
              <c:showVal val="1"/>
              <c:showCatName val="0"/>
              <c:showSerName val="1"/>
              <c:showPercent val="0"/>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0-5CE3-418F-A21E-E6DF9A10B09F}"/>
                </c:ext>
              </c:extLst>
            </c:dLbl>
            <c:dLbl>
              <c:idx val="1"/>
              <c:tx>
                <c:rich>
                  <a:bodyPr/>
                  <a:lstStyle/>
                  <a:p>
                    <a:r>
                      <a:rPr lang="en-US"/>
                      <a:t>Yes</a:t>
                    </a:r>
                    <a:r>
                      <a:rPr lang="en-US" baseline="0"/>
                      <a:t>
</a:t>
                    </a:r>
                    <a:fld id="{C38C6569-408D-4197-8639-243BB6FFB4C7}" type="VALUE">
                      <a:rPr lang="en-US" baseline="0"/>
                      <a:pPr/>
                      <a:t>[VALUE]</a:t>
                    </a:fld>
                    <a:endParaRPr lang="en-US" baseline="0"/>
                  </a:p>
                </c:rich>
              </c:tx>
              <c:dLblPos val="inEnd"/>
              <c:showLegendKey val="0"/>
              <c:showVal val="1"/>
              <c:showCatName val="0"/>
              <c:showSerName val="1"/>
              <c:showPercent val="0"/>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1-5CE3-418F-A21E-E6DF9A10B09F}"/>
                </c:ext>
              </c:extLst>
            </c:dLbl>
            <c:spPr>
              <a:noFill/>
              <a:ln>
                <a:noFill/>
              </a:ln>
              <a:effectLst/>
            </c:spPr>
            <c:txPr>
              <a:bodyPr rot="0" spcFirstLastPara="1" vertOverflow="overflow" horzOverflow="overflow" vert="horz" wrap="square" lIns="38100" tIns="19050" rIns="38100" bIns="19050" anchor="t" anchorCtr="1">
                <a:spAutoFit/>
              </a:bodyPr>
              <a:lstStyle/>
              <a:p>
                <a:pPr>
                  <a:defRPr sz="1400" b="1" i="0" u="none" strike="noStrike" kern="1200" baseline="0">
                    <a:ln>
                      <a:noFill/>
                    </a:ln>
                    <a:solidFill>
                      <a:schemeClr val="tx1">
                        <a:lumMod val="75000"/>
                        <a:lumOff val="25000"/>
                      </a:schemeClr>
                    </a:solidFill>
                    <a:latin typeface="+mn-lt"/>
                    <a:ea typeface="+mn-ea"/>
                    <a:cs typeface="+mn-cs"/>
                  </a:defRPr>
                </a:pPr>
                <a:endParaRPr lang="en-US"/>
              </a:p>
            </c:txPr>
            <c:dLblPos val="inEnd"/>
            <c:showLegendKey val="0"/>
            <c:showVal val="1"/>
            <c:showCatName val="0"/>
            <c:showSerName val="1"/>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'October calculations'!$F$392:$G$392</c:f>
              <c:numCache>
                <c:formatCode>0%</c:formatCode>
                <c:ptCount val="2"/>
                <c:pt idx="0">
                  <c:v>0.44368600682593856</c:v>
                </c:pt>
                <c:pt idx="1">
                  <c:v>0.51388888888888884</c:v>
                </c:pt>
              </c:numCache>
            </c:numRef>
          </c:val>
          <c:extLst>
            <c:ext xmlns:c15="http://schemas.microsoft.com/office/drawing/2012/chart" uri="{02D57815-91ED-43cb-92C2-25804820EDAC}">
              <c15:filteredSeriesTitle>
                <c15:tx>
                  <c:strRef>
                    <c:extLst>
                      <c:ext uri="{02D57815-91ED-43cb-92C2-25804820EDAC}">
                        <c15:formulaRef>
                          <c15:sqref>'October calculations'!$E$392</c15:sqref>
                        </c15:formulaRef>
                      </c:ext>
                    </c:extLst>
                    <c:strCache>
                      <c:ptCount val="1"/>
                      <c:pt idx="0">
                        <c:v>Yes</c:v>
                      </c:pt>
                    </c:strCache>
                  </c:strRef>
                </c15:tx>
              </c15:filteredSeriesTitle>
            </c:ext>
            <c:ext xmlns:c15="http://schemas.microsoft.com/office/drawing/2012/chart" uri="{02D57815-91ED-43cb-92C2-25804820EDAC}">
              <c15:filteredCategoryTitle>
                <c15:cat>
                  <c:strRef>
                    <c:extLst>
                      <c:ext uri="{02D57815-91ED-43cb-92C2-25804820EDAC}">
                        <c15:formulaRef>
                          <c15:sqref>'October calculations'!$F$391:$G$391</c15:sqref>
                        </c15:formulaRef>
                      </c:ext>
                    </c:extLst>
                    <c:strCache>
                      <c:ptCount val="2"/>
                      <c:pt idx="0">
                        <c:v>April 2017</c:v>
                      </c:pt>
                      <c:pt idx="1">
                        <c:v>Nov 2017</c:v>
                      </c:pt>
                    </c:strCache>
                  </c:strRef>
                </c15:cat>
              </c15:filteredCategoryTitle>
            </c:ext>
            <c:ext xmlns:c16="http://schemas.microsoft.com/office/drawing/2014/chart" uri="{C3380CC4-5D6E-409C-BE32-E72D297353CC}">
              <c16:uniqueId val="{00000000-739A-4A8E-A8B5-7E6B44AB7823}"/>
            </c:ext>
          </c:extLst>
        </c:ser>
        <c:ser>
          <c:idx val="1"/>
          <c:order val="1"/>
          <c:spPr>
            <a:solidFill>
              <a:srgbClr val="FF7D67"/>
            </a:solidFill>
            <a:ln>
              <a:noFill/>
            </a:ln>
            <a:effectLst>
              <a:outerShdw blurRad="50800" dist="38100" dir="2700000" algn="tl" rotWithShape="0">
                <a:prstClr val="black">
                  <a:alpha val="40000"/>
                </a:prstClr>
              </a:outerShdw>
            </a:effectLst>
            <a:scene3d>
              <a:camera prst="orthographicFront"/>
              <a:lightRig rig="threePt" dir="t"/>
            </a:scene3d>
            <a:sp3d>
              <a:bevelT h="19050"/>
            </a:sp3d>
          </c:spPr>
          <c:invertIfNegative val="0"/>
          <c:dLbls>
            <c:delete val="1"/>
          </c:dLbls>
          <c:val>
            <c:numRef>
              <c:f>'October calculations'!$F$393:$G$393</c:f>
              <c:numCache>
                <c:formatCode>0%</c:formatCode>
                <c:ptCount val="2"/>
                <c:pt idx="0">
                  <c:v>0.55631399317406138</c:v>
                </c:pt>
                <c:pt idx="1">
                  <c:v>0.4861111111111111</c:v>
                </c:pt>
              </c:numCache>
            </c:numRef>
          </c:val>
          <c:extLst>
            <c:ext xmlns:c15="http://schemas.microsoft.com/office/drawing/2012/chart" uri="{02D57815-91ED-43cb-92C2-25804820EDAC}">
              <c15:filteredSeriesTitle>
                <c15:tx>
                  <c:strRef>
                    <c:extLst>
                      <c:ext uri="{02D57815-91ED-43cb-92C2-25804820EDAC}">
                        <c15:formulaRef>
                          <c15:sqref>'October calculations'!$E$393</c15:sqref>
                        </c15:formulaRef>
                      </c:ext>
                    </c:extLst>
                    <c:strCache>
                      <c:ptCount val="1"/>
                      <c:pt idx="0">
                        <c:v>No</c:v>
                      </c:pt>
                    </c:strCache>
                  </c:strRef>
                </c15:tx>
              </c15:filteredSeriesTitle>
            </c:ext>
            <c:ext xmlns:c15="http://schemas.microsoft.com/office/drawing/2012/chart" uri="{02D57815-91ED-43cb-92C2-25804820EDAC}">
              <c15:filteredCategoryTitle>
                <c15:cat>
                  <c:strRef>
                    <c:extLst>
                      <c:ext uri="{02D57815-91ED-43cb-92C2-25804820EDAC}">
                        <c15:formulaRef>
                          <c15:sqref>'October calculations'!$F$391:$G$391</c15:sqref>
                        </c15:formulaRef>
                      </c:ext>
                    </c:extLst>
                    <c:strCache>
                      <c:ptCount val="2"/>
                      <c:pt idx="0">
                        <c:v>April 2017</c:v>
                      </c:pt>
                      <c:pt idx="1">
                        <c:v>Nov 2017</c:v>
                      </c:pt>
                    </c:strCache>
                  </c:strRef>
                </c15:cat>
              </c15:filteredCategoryTitle>
            </c:ext>
            <c:ext xmlns:c16="http://schemas.microsoft.com/office/drawing/2014/chart" uri="{C3380CC4-5D6E-409C-BE32-E72D297353CC}">
              <c16:uniqueId val="{00000001-739A-4A8E-A8B5-7E6B44AB7823}"/>
            </c:ext>
          </c:extLst>
        </c:ser>
        <c:dLbls>
          <c:showLegendKey val="0"/>
          <c:showVal val="1"/>
          <c:showCatName val="0"/>
          <c:showSerName val="0"/>
          <c:showPercent val="0"/>
          <c:showBubbleSize val="0"/>
        </c:dLbls>
        <c:gapWidth val="60"/>
        <c:overlap val="100"/>
        <c:axId val="1829164016"/>
        <c:axId val="1742261216"/>
      </c:barChart>
      <c:catAx>
        <c:axId val="18291640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t" anchorCtr="1"/>
          <a:lstStyle/>
          <a:p>
            <a:pPr>
              <a:defRPr sz="1200" b="1" i="0" u="none" strike="noStrike" kern="1200" baseline="0">
                <a:solidFill>
                  <a:schemeClr val="tx1">
                    <a:lumMod val="65000"/>
                    <a:lumOff val="35000"/>
                  </a:schemeClr>
                </a:solidFill>
                <a:latin typeface="+mn-lt"/>
                <a:ea typeface="+mn-ea"/>
                <a:cs typeface="+mn-cs"/>
              </a:defRPr>
            </a:pPr>
            <a:endParaRPr lang="en-US"/>
          </a:p>
        </c:txPr>
        <c:crossAx val="1742261216"/>
        <c:crossesAt val="0"/>
        <c:auto val="0"/>
        <c:lblAlgn val="ctr"/>
        <c:lblOffset val="0"/>
        <c:noMultiLvlLbl val="0"/>
      </c:catAx>
      <c:valAx>
        <c:axId val="1742261216"/>
        <c:scaling>
          <c:orientation val="minMax"/>
        </c:scaling>
        <c:delete val="0"/>
        <c:axPos val="l"/>
        <c:majorGridlines>
          <c:spPr>
            <a:ln w="19050" cap="flat" cmpd="sng" algn="ctr">
              <a:solidFill>
                <a:schemeClr val="tx1">
                  <a:lumMod val="15000"/>
                  <a:lumOff val="85000"/>
                </a:schemeClr>
              </a:solidFill>
              <a:round/>
            </a:ln>
            <a:effectLst/>
          </c:spPr>
        </c:majorGridlines>
        <c:minorGridlines>
          <c:spPr>
            <a:ln w="2857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sz="1200" b="1"/>
                  <a:t>% Authorities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out"/>
        <c:minorTickMark val="in"/>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29164016"/>
        <c:crosses val="autoZero"/>
        <c:crossBetween val="between"/>
        <c:majorUnit val="0.1"/>
        <c:minorUnit val="5.000000000000001E-2"/>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a:outerShdw blurRad="50800" dist="127000" dir="2700000" algn="tl" rotWithShape="0">
        <a:prstClr val="black">
          <a:alpha val="40000"/>
        </a:prstClr>
      </a:outerShdw>
    </a:effectLst>
    <a:scene3d>
      <a:camera prst="orthographicFront"/>
      <a:lightRig rig="threePt" dir="t"/>
    </a:scene3d>
    <a:sp3d prstMaterial="matte">
      <a:bevelT/>
    </a:sp3d>
  </c:spPr>
  <c:txPr>
    <a:bodyPr/>
    <a:lstStyle/>
    <a:p>
      <a:pPr>
        <a:defRPr/>
      </a:pPr>
      <a:endParaRPr lang="en-US"/>
    </a:p>
  </c:txPr>
  <c:externalData r:id="rId4">
    <c:autoUpdate val="0"/>
  </c:externalData>
  <c:extLst/>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0"/>
          <a:lstStyle/>
          <a:p>
            <a:pPr algn="ctr" rtl="0">
              <a:defRPr lang="en-GB" sz="1200" b="1" i="0" u="none" strike="noStrike" kern="1200" cap="none" spc="0" baseline="0">
                <a:solidFill>
                  <a:sysClr val="windowText" lastClr="000000">
                    <a:lumMod val="65000"/>
                    <a:lumOff val="35000"/>
                  </a:sysClr>
                </a:solidFill>
                <a:latin typeface="+mn-lt"/>
                <a:ea typeface="+mn-ea"/>
                <a:cs typeface="+mn-cs"/>
              </a:defRPr>
            </a:pPr>
            <a:r>
              <a:rPr lang="en-GB" sz="1200" b="1" i="0" u="none" strike="noStrike" kern="1200" cap="none" baseline="0">
                <a:solidFill>
                  <a:sysClr val="windowText" lastClr="000000">
                    <a:lumMod val="65000"/>
                    <a:lumOff val="35000"/>
                  </a:sysClr>
                </a:solidFill>
                <a:latin typeface="+mn-lt"/>
                <a:ea typeface="+mn-ea"/>
                <a:cs typeface="+mn-cs"/>
              </a:rPr>
              <a:t>England S167 Grade</a:t>
            </a:r>
          </a:p>
        </c:rich>
      </c:tx>
      <c:overlay val="0"/>
      <c:spPr>
        <a:solidFill>
          <a:schemeClr val="bg1"/>
        </a:solidFill>
        <a:ln>
          <a:noFill/>
        </a:ln>
        <a:effectLst/>
      </c:spPr>
      <c:txPr>
        <a:bodyPr rot="0" spcFirstLastPara="1" vertOverflow="ellipsis" vert="horz" wrap="square" anchor="ctr" anchorCtr="0"/>
        <a:lstStyle/>
        <a:p>
          <a:pPr algn="ctr" rtl="0">
            <a:defRPr lang="en-GB" sz="1200" b="1" i="0" u="none" strike="noStrike" kern="1200" cap="none" spc="0" baseline="0">
              <a:solidFill>
                <a:sysClr val="windowText" lastClr="000000">
                  <a:lumMod val="65000"/>
                  <a:lumOff val="35000"/>
                </a:sysClr>
              </a:solidFill>
              <a:latin typeface="+mn-lt"/>
              <a:ea typeface="+mn-ea"/>
              <a:cs typeface="+mn-cs"/>
            </a:defRPr>
          </a:pPr>
          <a:endParaRPr lang="en-US"/>
        </a:p>
      </c:txPr>
    </c:title>
    <c:autoTitleDeleted val="0"/>
    <c:pivotFmts>
      <c:pivotFmt>
        <c:idx val="0"/>
        <c:spPr>
          <a:solidFill>
            <a:schemeClr val="accent1"/>
          </a:solidFill>
          <a:ln>
            <a:noFill/>
          </a:ln>
          <a:effectLst/>
        </c:spPr>
        <c:marker>
          <c:symbol val="none"/>
        </c:marker>
      </c:pivotFmt>
      <c:pivotFmt>
        <c:idx val="1"/>
        <c:spPr>
          <a:solidFill>
            <a:schemeClr val="accent1"/>
          </a:solidFill>
          <a:ln>
            <a:noFill/>
          </a:ln>
          <a:effectLst/>
        </c:spPr>
        <c:marker>
          <c:symbol val="none"/>
        </c:marker>
      </c:pivotFmt>
      <c:pivotFmt>
        <c:idx val="2"/>
        <c:spPr>
          <a:solidFill>
            <a:schemeClr val="accent1"/>
          </a:solidFill>
          <a:ln>
            <a:noFill/>
          </a:ln>
          <a:effectLst/>
        </c:spPr>
        <c:marker>
          <c:symbol val="none"/>
        </c:marker>
      </c:pivotFmt>
      <c:pivotFmt>
        <c:idx val="3"/>
        <c:spPr>
          <a:solidFill>
            <a:schemeClr val="accent1"/>
          </a:solidFill>
          <a:ln>
            <a:noFill/>
          </a:ln>
          <a:effectLst/>
        </c:spPr>
        <c:marker>
          <c:symbol val="none"/>
        </c:marker>
      </c:pivotFmt>
      <c:pivotFmt>
        <c:idx val="4"/>
        <c:spPr>
          <a:solidFill>
            <a:schemeClr val="accent1"/>
          </a:solidFill>
          <a:ln>
            <a:noFill/>
          </a:ln>
          <a:effectLst/>
        </c:spPr>
        <c:marker>
          <c:symbol val="none"/>
        </c:marker>
      </c:pivotFmt>
      <c:pivotFmt>
        <c:idx val="5"/>
        <c:spPr>
          <a:solidFill>
            <a:srgbClr val="7DB17A"/>
          </a:solidFill>
          <a:ln>
            <a:noFill/>
          </a:ln>
          <a:effectLst>
            <a:softEdge rad="50800"/>
          </a:effectLst>
          <a:scene3d>
            <a:camera prst="orthographicFront"/>
            <a:lightRig rig="threePt" dir="t"/>
          </a:scene3d>
          <a:sp3d>
            <a:bevelT/>
          </a:sp3d>
        </c:spPr>
        <c:marker>
          <c:symbol val="none"/>
        </c:marker>
        <c:dLbl>
          <c:idx val="0"/>
          <c:spPr>
            <a:noFill/>
            <a:ln>
              <a:noFill/>
            </a:ln>
            <a:effectLst/>
          </c:spPr>
          <c:txPr>
            <a:bodyPr rot="0" spcFirstLastPara="1" vertOverflow="overflow" horzOverflow="overflow" vert="horz" wrap="square" lIns="38100" tIns="19050" rIns="38100" bIns="19050" anchor="t" anchorCtr="1">
              <a:spAutoFit/>
            </a:bodyPr>
            <a:lstStyle/>
            <a:p>
              <a:pPr>
                <a:defRPr sz="1400" b="1" i="0" u="none" strike="noStrike" kern="1200" baseline="0">
                  <a:ln>
                    <a:noFill/>
                  </a:ln>
                  <a:solidFill>
                    <a:schemeClr val="tx1">
                      <a:lumMod val="75000"/>
                      <a:lumOff val="25000"/>
                    </a:schemeClr>
                  </a:solidFill>
                  <a:latin typeface="+mn-lt"/>
                  <a:ea typeface="+mn-ea"/>
                  <a:cs typeface="+mn-cs"/>
                </a:defRPr>
              </a:pPr>
              <a:endParaRPr lang="en-US"/>
            </a:p>
          </c:txPr>
          <c:dLblPos val="inEnd"/>
          <c:showLegendKey val="0"/>
          <c:showVal val="0"/>
          <c:showCatName val="0"/>
          <c:showSerName val="1"/>
          <c:showPercent val="0"/>
          <c:showBubbleSize val="0"/>
          <c:extLst>
            <c:ext xmlns:c15="http://schemas.microsoft.com/office/drawing/2012/chart" uri="{CE6537A1-D6FC-4f65-9D91-7224C49458BB}"/>
          </c:extLst>
        </c:dLbl>
      </c:pivotFmt>
      <c:pivotFmt>
        <c:idx val="6"/>
        <c:spPr>
          <a:solidFill>
            <a:srgbClr val="C1FFC1"/>
          </a:solidFill>
          <a:ln>
            <a:noFill/>
          </a:ln>
          <a:effectLst/>
          <a:scene3d>
            <a:camera prst="orthographicFront"/>
            <a:lightRig rig="threePt" dir="t"/>
          </a:scene3d>
          <a:sp3d>
            <a:bevel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mn-lt"/>
                  <a:ea typeface="+mn-ea"/>
                  <a:cs typeface="+mn-cs"/>
                </a:defRPr>
              </a:pPr>
              <a:endParaRPr lang="en-US"/>
            </a:p>
          </c:txPr>
          <c:dLblPos val="inEnd"/>
          <c:showLegendKey val="0"/>
          <c:showVal val="0"/>
          <c:showCatName val="0"/>
          <c:showSerName val="1"/>
          <c:showPercent val="0"/>
          <c:showBubbleSize val="0"/>
          <c:extLst>
            <c:ext xmlns:c15="http://schemas.microsoft.com/office/drawing/2012/chart" uri="{CE6537A1-D6FC-4f65-9D91-7224C49458BB}"/>
          </c:extLst>
        </c:dLbl>
      </c:pivotFmt>
      <c:pivotFmt>
        <c:idx val="7"/>
        <c:spPr>
          <a:solidFill>
            <a:srgbClr val="FFFF66"/>
          </a:solidFill>
          <a:ln>
            <a:noFill/>
          </a:ln>
          <a:effectLst/>
          <a:scene3d>
            <a:camera prst="orthographicFront"/>
            <a:lightRig rig="threePt" dir="t"/>
          </a:scene3d>
          <a:sp3d>
            <a:bevel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mn-lt"/>
                  <a:ea typeface="+mn-ea"/>
                  <a:cs typeface="+mn-cs"/>
                </a:defRPr>
              </a:pPr>
              <a:endParaRPr lang="en-US"/>
            </a:p>
          </c:txPr>
          <c:dLblPos val="inEnd"/>
          <c:showLegendKey val="0"/>
          <c:showVal val="0"/>
          <c:showCatName val="0"/>
          <c:showSerName val="1"/>
          <c:showPercent val="0"/>
          <c:showBubbleSize val="0"/>
          <c:extLst>
            <c:ext xmlns:c15="http://schemas.microsoft.com/office/drawing/2012/chart" uri="{CE6537A1-D6FC-4f65-9D91-7224C49458BB}"/>
          </c:extLst>
        </c:dLbl>
      </c:pivotFmt>
      <c:pivotFmt>
        <c:idx val="8"/>
        <c:spPr>
          <a:solidFill>
            <a:srgbClr val="FFC267"/>
          </a:solidFill>
          <a:ln>
            <a:noFill/>
          </a:ln>
          <a:effectLst/>
          <a:scene3d>
            <a:camera prst="orthographicFront"/>
            <a:lightRig rig="threePt" dir="t"/>
          </a:scene3d>
          <a:sp3d>
            <a:bevel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mn-lt"/>
                  <a:ea typeface="+mn-ea"/>
                  <a:cs typeface="+mn-cs"/>
                </a:defRPr>
              </a:pPr>
              <a:endParaRPr lang="en-US"/>
            </a:p>
          </c:txPr>
          <c:dLblPos val="inEnd"/>
          <c:showLegendKey val="0"/>
          <c:showVal val="0"/>
          <c:showCatName val="0"/>
          <c:showSerName val="1"/>
          <c:showPercent val="0"/>
          <c:showBubbleSize val="0"/>
          <c:extLst>
            <c:ext xmlns:c15="http://schemas.microsoft.com/office/drawing/2012/chart" uri="{CE6537A1-D6FC-4f65-9D91-7224C49458BB}"/>
          </c:extLst>
        </c:dLbl>
      </c:pivotFmt>
      <c:pivotFmt>
        <c:idx val="9"/>
        <c:spPr>
          <a:solidFill>
            <a:srgbClr val="FF7D67"/>
          </a:solidFill>
          <a:ln>
            <a:noFill/>
          </a:ln>
          <a:effectLst/>
          <a:scene3d>
            <a:camera prst="orthographicFront"/>
            <a:lightRig rig="threePt" dir="t"/>
          </a:scene3d>
          <a:sp3d>
            <a:bevel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mn-lt"/>
                  <a:ea typeface="+mn-ea"/>
                  <a:cs typeface="+mn-cs"/>
                </a:defRPr>
              </a:pPr>
              <a:endParaRPr lang="en-US"/>
            </a:p>
          </c:txPr>
          <c:dLblPos val="inEnd"/>
          <c:showLegendKey val="0"/>
          <c:showVal val="0"/>
          <c:showCatName val="0"/>
          <c:showSerName val="1"/>
          <c:showPercent val="0"/>
          <c:showBubbleSize val="0"/>
          <c:extLst>
            <c:ext xmlns:c15="http://schemas.microsoft.com/office/drawing/2012/chart" uri="{CE6537A1-D6FC-4f65-9D91-7224C49458BB}"/>
          </c:extLst>
        </c:dLbl>
      </c:pivotFmt>
      <c:pivotFmt>
        <c:idx val="10"/>
        <c:spPr>
          <a:solidFill>
            <a:srgbClr val="7DB17A"/>
          </a:solidFill>
          <a:ln>
            <a:noFill/>
          </a:ln>
          <a:effectLst>
            <a:softEdge rad="50800"/>
          </a:effectLst>
          <a:scene3d>
            <a:camera prst="orthographicFront"/>
            <a:lightRig rig="threePt" dir="t"/>
          </a:scene3d>
          <a:sp3d>
            <a:bevelT/>
          </a:sp3d>
        </c:spPr>
      </c:pivotFmt>
      <c:pivotFmt>
        <c:idx val="11"/>
        <c:spPr>
          <a:solidFill>
            <a:srgbClr val="7DB17A"/>
          </a:solidFill>
          <a:ln>
            <a:noFill/>
          </a:ln>
          <a:effectLst>
            <a:softEdge rad="50800"/>
          </a:effectLst>
          <a:scene3d>
            <a:camera prst="orthographicFront"/>
            <a:lightRig rig="threePt" dir="t"/>
          </a:scene3d>
          <a:sp3d>
            <a:bevelT/>
          </a:sp3d>
        </c:spPr>
      </c:pivotFmt>
      <c:pivotFmt>
        <c:idx val="12"/>
        <c:spPr>
          <a:solidFill>
            <a:srgbClr val="7DB17A"/>
          </a:solidFill>
          <a:ln>
            <a:noFill/>
          </a:ln>
          <a:effectLst>
            <a:softEdge rad="50800"/>
          </a:effectLst>
          <a:scene3d>
            <a:camera prst="orthographicFront"/>
            <a:lightRig rig="threePt" dir="t"/>
          </a:scene3d>
          <a:sp3d>
            <a:bevelT/>
          </a:sp3d>
        </c:spPr>
      </c:pivotFmt>
      <c:pivotFmt>
        <c:idx val="13"/>
        <c:spPr>
          <a:solidFill>
            <a:srgbClr val="7DB17A"/>
          </a:solidFill>
          <a:ln>
            <a:noFill/>
          </a:ln>
          <a:effectLst>
            <a:softEdge rad="50800"/>
          </a:effectLst>
          <a:scene3d>
            <a:camera prst="orthographicFront"/>
            <a:lightRig rig="threePt" dir="t"/>
          </a:scene3d>
          <a:sp3d>
            <a:bevelT/>
          </a:sp3d>
        </c:spPr>
      </c:pivotFmt>
      <c:pivotFmt>
        <c:idx val="14"/>
        <c:spPr>
          <a:solidFill>
            <a:srgbClr val="7DB17A"/>
          </a:solidFill>
          <a:ln>
            <a:noFill/>
          </a:ln>
          <a:effectLst>
            <a:softEdge rad="50800"/>
          </a:effectLst>
          <a:scene3d>
            <a:camera prst="orthographicFront"/>
            <a:lightRig rig="threePt" dir="t"/>
          </a:scene3d>
          <a:sp3d>
            <a:bevelT/>
          </a:sp3d>
        </c:spPr>
      </c:pivotFmt>
      <c:pivotFmt>
        <c:idx val="15"/>
        <c:spPr>
          <a:solidFill>
            <a:srgbClr val="7DB17A"/>
          </a:solidFill>
          <a:ln>
            <a:noFill/>
          </a:ln>
          <a:effectLst>
            <a:softEdge rad="50800"/>
          </a:effectLst>
          <a:scene3d>
            <a:camera prst="orthographicFront"/>
            <a:lightRig rig="threePt" dir="t"/>
          </a:scene3d>
          <a:sp3d>
            <a:bevelT/>
          </a:sp3d>
        </c:spPr>
      </c:pivotFmt>
      <c:pivotFmt>
        <c:idx val="16"/>
        <c:spPr>
          <a:solidFill>
            <a:srgbClr val="7DB17A"/>
          </a:solidFill>
          <a:ln>
            <a:noFill/>
          </a:ln>
          <a:effectLst>
            <a:outerShdw blurRad="50800" dist="38100" dir="2700000" algn="tl" rotWithShape="0">
              <a:prstClr val="black">
                <a:alpha val="40000"/>
              </a:prstClr>
            </a:outerShdw>
          </a:effectLst>
          <a:scene3d>
            <a:camera prst="orthographicFront"/>
            <a:lightRig rig="threePt" dir="t"/>
          </a:scene3d>
          <a:sp3d>
            <a:bevelT h="19050"/>
          </a:sp3d>
        </c:spPr>
        <c:marker>
          <c:symbol val="none"/>
        </c:marker>
        <c:dLbl>
          <c:idx val="0"/>
          <c:spPr>
            <a:noFill/>
            <a:ln>
              <a:noFill/>
            </a:ln>
            <a:effectLst/>
          </c:spPr>
          <c:txPr>
            <a:bodyPr rot="0" spcFirstLastPara="1" vertOverflow="overflow" horzOverflow="overflow" vert="horz" wrap="square" lIns="38100" tIns="19050" rIns="38100" bIns="19050" anchor="t" anchorCtr="1">
              <a:spAutoFit/>
            </a:bodyPr>
            <a:lstStyle/>
            <a:p>
              <a:pPr>
                <a:defRPr sz="1400" b="1" i="0" u="none" strike="noStrike" kern="1200" baseline="0">
                  <a:ln>
                    <a:noFill/>
                  </a:ln>
                  <a:solidFill>
                    <a:schemeClr val="tx1">
                      <a:lumMod val="75000"/>
                      <a:lumOff val="25000"/>
                    </a:schemeClr>
                  </a:solidFill>
                  <a:latin typeface="+mn-lt"/>
                  <a:ea typeface="+mn-ea"/>
                  <a:cs typeface="+mn-cs"/>
                </a:defRPr>
              </a:pPr>
              <a:endParaRPr lang="en-US"/>
            </a:p>
          </c:txPr>
          <c:dLblPos val="inEnd"/>
          <c:showLegendKey val="0"/>
          <c:showVal val="0"/>
          <c:showCatName val="0"/>
          <c:showSerName val="1"/>
          <c:showPercent val="0"/>
          <c:showBubbleSize val="0"/>
          <c:extLst>
            <c:ext xmlns:c15="http://schemas.microsoft.com/office/drawing/2012/chart" uri="{CE6537A1-D6FC-4f65-9D91-7224C49458BB}"/>
          </c:extLst>
        </c:dLbl>
      </c:pivotFmt>
      <c:pivotFmt>
        <c:idx val="17"/>
        <c:spPr>
          <a:solidFill>
            <a:srgbClr val="C1FFC1"/>
          </a:solidFill>
          <a:ln>
            <a:noFill/>
          </a:ln>
          <a:effectLst>
            <a:outerShdw blurRad="50800" dist="38100" dir="2700000" algn="tl" rotWithShape="0">
              <a:prstClr val="black">
                <a:alpha val="40000"/>
              </a:prstClr>
            </a:outerShdw>
          </a:effectLst>
          <a:scene3d>
            <a:camera prst="orthographicFront"/>
            <a:lightRig rig="threePt" dir="t"/>
          </a:scene3d>
          <a:sp3d>
            <a:bevelT h="1905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mn-lt"/>
                  <a:ea typeface="+mn-ea"/>
                  <a:cs typeface="+mn-cs"/>
                </a:defRPr>
              </a:pPr>
              <a:endParaRPr lang="en-US"/>
            </a:p>
          </c:txPr>
          <c:dLblPos val="inEnd"/>
          <c:showLegendKey val="0"/>
          <c:showVal val="0"/>
          <c:showCatName val="0"/>
          <c:showSerName val="1"/>
          <c:showPercent val="0"/>
          <c:showBubbleSize val="0"/>
          <c:extLst>
            <c:ext xmlns:c15="http://schemas.microsoft.com/office/drawing/2012/chart" uri="{CE6537A1-D6FC-4f65-9D91-7224C49458BB}"/>
          </c:extLst>
        </c:dLbl>
      </c:pivotFmt>
      <c:pivotFmt>
        <c:idx val="18"/>
        <c:spPr>
          <a:solidFill>
            <a:srgbClr val="FFFF66"/>
          </a:solidFill>
          <a:ln>
            <a:noFill/>
          </a:ln>
          <a:effectLst>
            <a:outerShdw blurRad="50800" dist="38100" dir="2700000" algn="tl" rotWithShape="0">
              <a:prstClr val="black">
                <a:alpha val="40000"/>
              </a:prstClr>
            </a:outerShdw>
          </a:effectLst>
          <a:scene3d>
            <a:camera prst="orthographicFront"/>
            <a:lightRig rig="threePt" dir="t"/>
          </a:scene3d>
          <a:sp3d>
            <a:bevelT h="1905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mn-lt"/>
                  <a:ea typeface="+mn-ea"/>
                  <a:cs typeface="+mn-cs"/>
                </a:defRPr>
              </a:pPr>
              <a:endParaRPr lang="en-US"/>
            </a:p>
          </c:txPr>
          <c:dLblPos val="inEnd"/>
          <c:showLegendKey val="0"/>
          <c:showVal val="0"/>
          <c:showCatName val="0"/>
          <c:showSerName val="1"/>
          <c:showPercent val="0"/>
          <c:showBubbleSize val="0"/>
          <c:extLst>
            <c:ext xmlns:c15="http://schemas.microsoft.com/office/drawing/2012/chart" uri="{CE6537A1-D6FC-4f65-9D91-7224C49458BB}"/>
          </c:extLst>
        </c:dLbl>
      </c:pivotFmt>
      <c:pivotFmt>
        <c:idx val="19"/>
        <c:spPr>
          <a:solidFill>
            <a:srgbClr val="FFC267"/>
          </a:solidFill>
          <a:ln>
            <a:noFill/>
          </a:ln>
          <a:effectLst>
            <a:outerShdw blurRad="50800" dist="38100" dir="2700000" algn="tl" rotWithShape="0">
              <a:prstClr val="black">
                <a:alpha val="40000"/>
              </a:prstClr>
            </a:outerShdw>
          </a:effectLst>
          <a:scene3d>
            <a:camera prst="orthographicFront"/>
            <a:lightRig rig="threePt" dir="t"/>
          </a:scene3d>
          <a:sp3d>
            <a:bevelT h="1905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mn-lt"/>
                  <a:ea typeface="+mn-ea"/>
                  <a:cs typeface="+mn-cs"/>
                </a:defRPr>
              </a:pPr>
              <a:endParaRPr lang="en-US"/>
            </a:p>
          </c:txPr>
          <c:dLblPos val="inEnd"/>
          <c:showLegendKey val="0"/>
          <c:showVal val="0"/>
          <c:showCatName val="0"/>
          <c:showSerName val="1"/>
          <c:showPercent val="0"/>
          <c:showBubbleSize val="0"/>
          <c:extLst>
            <c:ext xmlns:c15="http://schemas.microsoft.com/office/drawing/2012/chart" uri="{CE6537A1-D6FC-4f65-9D91-7224C49458BB}"/>
          </c:extLst>
        </c:dLbl>
      </c:pivotFmt>
      <c:pivotFmt>
        <c:idx val="20"/>
        <c:spPr>
          <a:solidFill>
            <a:srgbClr val="FF7D67"/>
          </a:solidFill>
          <a:ln>
            <a:noFill/>
          </a:ln>
          <a:effectLst>
            <a:outerShdw blurRad="50800" dist="38100" dir="2700000" algn="tl" rotWithShape="0">
              <a:prstClr val="black">
                <a:alpha val="40000"/>
              </a:prstClr>
            </a:outerShdw>
          </a:effectLst>
          <a:scene3d>
            <a:camera prst="orthographicFront"/>
            <a:lightRig rig="threePt" dir="t"/>
          </a:scene3d>
          <a:sp3d>
            <a:bevelT h="1905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mn-lt"/>
                  <a:ea typeface="+mn-ea"/>
                  <a:cs typeface="+mn-cs"/>
                </a:defRPr>
              </a:pPr>
              <a:endParaRPr lang="en-US"/>
            </a:p>
          </c:txPr>
          <c:dLblPos val="inEnd"/>
          <c:showLegendKey val="0"/>
          <c:showVal val="0"/>
          <c:showCatName val="0"/>
          <c:showSerName val="1"/>
          <c:showPercent val="0"/>
          <c:showBubbleSize val="0"/>
          <c:extLst>
            <c:ext xmlns:c15="http://schemas.microsoft.com/office/drawing/2012/chart" uri="{CE6537A1-D6FC-4f65-9D91-7224C49458BB}"/>
          </c:extLst>
        </c:dLbl>
      </c:pivotFmt>
      <c:pivotFmt>
        <c:idx val="21"/>
        <c:spPr>
          <a:solidFill>
            <a:srgbClr val="7DB17A"/>
          </a:solidFill>
          <a:ln>
            <a:noFill/>
          </a:ln>
          <a:effectLst>
            <a:outerShdw blurRad="50800" dist="38100" dir="2700000" algn="tl" rotWithShape="0">
              <a:prstClr val="black">
                <a:alpha val="40000"/>
              </a:prstClr>
            </a:outerShdw>
          </a:effectLst>
          <a:scene3d>
            <a:camera prst="orthographicFront"/>
            <a:lightRig rig="threePt" dir="t"/>
          </a:scene3d>
          <a:sp3d>
            <a:bevelT h="19050"/>
          </a:sp3d>
        </c:spPr>
        <c:marker>
          <c:symbol val="none"/>
        </c:marker>
        <c:dLbl>
          <c:idx val="0"/>
          <c:spPr>
            <a:noFill/>
            <a:ln>
              <a:noFill/>
            </a:ln>
            <a:effectLst/>
          </c:spPr>
          <c:txPr>
            <a:bodyPr rot="0" spcFirstLastPara="1" vertOverflow="overflow" horzOverflow="overflow" vert="horz" wrap="square" lIns="38100" tIns="19050" rIns="38100" bIns="19050" anchor="t" anchorCtr="1">
              <a:spAutoFit/>
            </a:bodyPr>
            <a:lstStyle/>
            <a:p>
              <a:pPr>
                <a:defRPr sz="1400" b="1" i="0" u="none" strike="noStrike" kern="1200" baseline="0">
                  <a:ln>
                    <a:noFill/>
                  </a:ln>
                  <a:solidFill>
                    <a:schemeClr val="tx1">
                      <a:lumMod val="75000"/>
                      <a:lumOff val="25000"/>
                    </a:schemeClr>
                  </a:solidFill>
                  <a:latin typeface="+mn-lt"/>
                  <a:ea typeface="+mn-ea"/>
                  <a:cs typeface="+mn-cs"/>
                </a:defRPr>
              </a:pPr>
              <a:endParaRPr lang="en-US"/>
            </a:p>
          </c:txPr>
          <c:dLblPos val="inEnd"/>
          <c:showLegendKey val="0"/>
          <c:showVal val="0"/>
          <c:showCatName val="0"/>
          <c:showSerName val="1"/>
          <c:showPercent val="0"/>
          <c:showBubbleSize val="0"/>
          <c:extLst>
            <c:ext xmlns:c15="http://schemas.microsoft.com/office/drawing/2012/chart" uri="{CE6537A1-D6FC-4f65-9D91-7224C49458BB}"/>
          </c:extLst>
        </c:dLbl>
      </c:pivotFmt>
      <c:pivotFmt>
        <c:idx val="22"/>
        <c:spPr>
          <a:solidFill>
            <a:srgbClr val="C1FFC1"/>
          </a:solidFill>
          <a:ln>
            <a:noFill/>
          </a:ln>
          <a:effectLst>
            <a:outerShdw blurRad="50800" dist="38100" dir="2700000" algn="tl" rotWithShape="0">
              <a:prstClr val="black">
                <a:alpha val="40000"/>
              </a:prstClr>
            </a:outerShdw>
          </a:effectLst>
          <a:scene3d>
            <a:camera prst="orthographicFront"/>
            <a:lightRig rig="threePt" dir="t"/>
          </a:scene3d>
          <a:sp3d>
            <a:bevelT h="1905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mn-lt"/>
                  <a:ea typeface="+mn-ea"/>
                  <a:cs typeface="+mn-cs"/>
                </a:defRPr>
              </a:pPr>
              <a:endParaRPr lang="en-US"/>
            </a:p>
          </c:txPr>
          <c:dLblPos val="inEnd"/>
          <c:showLegendKey val="0"/>
          <c:showVal val="0"/>
          <c:showCatName val="0"/>
          <c:showSerName val="1"/>
          <c:showPercent val="0"/>
          <c:showBubbleSize val="0"/>
          <c:extLst>
            <c:ext xmlns:c15="http://schemas.microsoft.com/office/drawing/2012/chart" uri="{CE6537A1-D6FC-4f65-9D91-7224C49458BB}"/>
          </c:extLst>
        </c:dLbl>
      </c:pivotFmt>
      <c:pivotFmt>
        <c:idx val="23"/>
        <c:spPr>
          <a:solidFill>
            <a:srgbClr val="FFFF66"/>
          </a:solidFill>
          <a:ln>
            <a:noFill/>
          </a:ln>
          <a:effectLst>
            <a:outerShdw blurRad="50800" dist="38100" dir="2700000" algn="tl" rotWithShape="0">
              <a:prstClr val="black">
                <a:alpha val="40000"/>
              </a:prstClr>
            </a:outerShdw>
          </a:effectLst>
          <a:scene3d>
            <a:camera prst="orthographicFront"/>
            <a:lightRig rig="threePt" dir="t"/>
          </a:scene3d>
          <a:sp3d>
            <a:bevelT h="1905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mn-lt"/>
                  <a:ea typeface="+mn-ea"/>
                  <a:cs typeface="+mn-cs"/>
                </a:defRPr>
              </a:pPr>
              <a:endParaRPr lang="en-US"/>
            </a:p>
          </c:txPr>
          <c:dLblPos val="inEnd"/>
          <c:showLegendKey val="0"/>
          <c:showVal val="0"/>
          <c:showCatName val="0"/>
          <c:showSerName val="1"/>
          <c:showPercent val="0"/>
          <c:showBubbleSize val="0"/>
          <c:extLst>
            <c:ext xmlns:c15="http://schemas.microsoft.com/office/drawing/2012/chart" uri="{CE6537A1-D6FC-4f65-9D91-7224C49458BB}"/>
          </c:extLst>
        </c:dLbl>
      </c:pivotFmt>
      <c:pivotFmt>
        <c:idx val="24"/>
        <c:spPr>
          <a:solidFill>
            <a:srgbClr val="FFC267"/>
          </a:solidFill>
          <a:ln>
            <a:noFill/>
          </a:ln>
          <a:effectLst>
            <a:outerShdw blurRad="50800" dist="38100" dir="2700000" algn="tl" rotWithShape="0">
              <a:prstClr val="black">
                <a:alpha val="40000"/>
              </a:prstClr>
            </a:outerShdw>
          </a:effectLst>
          <a:scene3d>
            <a:camera prst="orthographicFront"/>
            <a:lightRig rig="threePt" dir="t"/>
          </a:scene3d>
          <a:sp3d>
            <a:bevelT h="1905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mn-lt"/>
                  <a:ea typeface="+mn-ea"/>
                  <a:cs typeface="+mn-cs"/>
                </a:defRPr>
              </a:pPr>
              <a:endParaRPr lang="en-US"/>
            </a:p>
          </c:txPr>
          <c:dLblPos val="inEnd"/>
          <c:showLegendKey val="0"/>
          <c:showVal val="0"/>
          <c:showCatName val="0"/>
          <c:showSerName val="1"/>
          <c:showPercent val="0"/>
          <c:showBubbleSize val="0"/>
          <c:extLst>
            <c:ext xmlns:c15="http://schemas.microsoft.com/office/drawing/2012/chart" uri="{CE6537A1-D6FC-4f65-9D91-7224C49458BB}"/>
          </c:extLst>
        </c:dLbl>
      </c:pivotFmt>
      <c:pivotFmt>
        <c:idx val="25"/>
        <c:spPr>
          <a:solidFill>
            <a:srgbClr val="FF7D67"/>
          </a:solidFill>
          <a:ln>
            <a:noFill/>
          </a:ln>
          <a:effectLst>
            <a:outerShdw blurRad="50800" dist="38100" dir="2700000" algn="tl" rotWithShape="0">
              <a:prstClr val="black">
                <a:alpha val="40000"/>
              </a:prstClr>
            </a:outerShdw>
          </a:effectLst>
          <a:scene3d>
            <a:camera prst="orthographicFront"/>
            <a:lightRig rig="threePt" dir="t"/>
          </a:scene3d>
          <a:sp3d>
            <a:bevelT h="1905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mn-lt"/>
                  <a:ea typeface="+mn-ea"/>
                  <a:cs typeface="+mn-cs"/>
                </a:defRPr>
              </a:pPr>
              <a:endParaRPr lang="en-US"/>
            </a:p>
          </c:txPr>
          <c:dLblPos val="inEnd"/>
          <c:showLegendKey val="0"/>
          <c:showVal val="0"/>
          <c:showCatName val="0"/>
          <c:showSerName val="1"/>
          <c:showPercent val="0"/>
          <c:showBubbleSize val="0"/>
          <c:extLst>
            <c:ext xmlns:c15="http://schemas.microsoft.com/office/drawing/2012/chart" uri="{CE6537A1-D6FC-4f65-9D91-7224C49458BB}"/>
          </c:extLst>
        </c:dLbl>
      </c:pivotFmt>
      <c:pivotFmt>
        <c:idx val="26"/>
        <c:spPr>
          <a:solidFill>
            <a:srgbClr val="7DB17A"/>
          </a:solidFill>
          <a:ln>
            <a:noFill/>
          </a:ln>
          <a:effectLst>
            <a:outerShdw blurRad="50800" dist="38100" dir="2700000" algn="tl" rotWithShape="0">
              <a:prstClr val="black">
                <a:alpha val="40000"/>
              </a:prstClr>
            </a:outerShdw>
          </a:effectLst>
          <a:scene3d>
            <a:camera prst="orthographicFront"/>
            <a:lightRig rig="threePt" dir="t"/>
          </a:scene3d>
          <a:sp3d>
            <a:bevelT h="19050"/>
          </a:sp3d>
        </c:spPr>
        <c:marker>
          <c:symbol val="none"/>
        </c:marker>
        <c:dLbl>
          <c:idx val="0"/>
          <c:spPr>
            <a:noFill/>
            <a:ln>
              <a:noFill/>
            </a:ln>
            <a:effectLst/>
          </c:spPr>
          <c:txPr>
            <a:bodyPr rot="0" spcFirstLastPara="1" vertOverflow="overflow" horzOverflow="overflow" vert="horz" wrap="square" lIns="38100" tIns="19050" rIns="38100" bIns="19050" anchor="t" anchorCtr="1">
              <a:spAutoFit/>
            </a:bodyPr>
            <a:lstStyle/>
            <a:p>
              <a:pPr>
                <a:defRPr sz="1400" b="1" i="0" u="none" strike="noStrike" kern="1200" baseline="0">
                  <a:ln>
                    <a:noFill/>
                  </a:ln>
                  <a:solidFill>
                    <a:schemeClr val="tx1">
                      <a:lumMod val="75000"/>
                      <a:lumOff val="25000"/>
                    </a:schemeClr>
                  </a:solidFill>
                  <a:latin typeface="+mn-lt"/>
                  <a:ea typeface="+mn-ea"/>
                  <a:cs typeface="+mn-cs"/>
                </a:defRPr>
              </a:pPr>
              <a:endParaRPr lang="en-US"/>
            </a:p>
          </c:txPr>
          <c:dLblPos val="inEnd"/>
          <c:showLegendKey val="0"/>
          <c:showVal val="0"/>
          <c:showCatName val="0"/>
          <c:showSerName val="1"/>
          <c:showPercent val="0"/>
          <c:showBubbleSize val="0"/>
          <c:extLst>
            <c:ext xmlns:c15="http://schemas.microsoft.com/office/drawing/2012/chart" uri="{CE6537A1-D6FC-4f65-9D91-7224C49458BB}"/>
          </c:extLst>
        </c:dLbl>
      </c:pivotFmt>
      <c:pivotFmt>
        <c:idx val="27"/>
        <c:spPr>
          <a:solidFill>
            <a:srgbClr val="C1FFC1"/>
          </a:solidFill>
          <a:ln>
            <a:noFill/>
          </a:ln>
          <a:effectLst>
            <a:outerShdw blurRad="50800" dist="38100" dir="2700000" algn="tl" rotWithShape="0">
              <a:prstClr val="black">
                <a:alpha val="40000"/>
              </a:prstClr>
            </a:outerShdw>
          </a:effectLst>
          <a:scene3d>
            <a:camera prst="orthographicFront"/>
            <a:lightRig rig="threePt" dir="t"/>
          </a:scene3d>
          <a:sp3d>
            <a:bevelT h="1905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mn-lt"/>
                  <a:ea typeface="+mn-ea"/>
                  <a:cs typeface="+mn-cs"/>
                </a:defRPr>
              </a:pPr>
              <a:endParaRPr lang="en-US"/>
            </a:p>
          </c:txPr>
          <c:dLblPos val="inEnd"/>
          <c:showLegendKey val="0"/>
          <c:showVal val="0"/>
          <c:showCatName val="0"/>
          <c:showSerName val="1"/>
          <c:showPercent val="0"/>
          <c:showBubbleSize val="0"/>
          <c:extLst>
            <c:ext xmlns:c15="http://schemas.microsoft.com/office/drawing/2012/chart" uri="{CE6537A1-D6FC-4f65-9D91-7224C49458BB}"/>
          </c:extLst>
        </c:dLbl>
      </c:pivotFmt>
      <c:pivotFmt>
        <c:idx val="28"/>
        <c:spPr>
          <a:solidFill>
            <a:srgbClr val="FFFF66"/>
          </a:solidFill>
          <a:ln>
            <a:noFill/>
          </a:ln>
          <a:effectLst>
            <a:outerShdw blurRad="50800" dist="38100" dir="2700000" algn="tl" rotWithShape="0">
              <a:prstClr val="black">
                <a:alpha val="40000"/>
              </a:prstClr>
            </a:outerShdw>
          </a:effectLst>
          <a:scene3d>
            <a:camera prst="orthographicFront"/>
            <a:lightRig rig="threePt" dir="t"/>
          </a:scene3d>
          <a:sp3d>
            <a:bevelT h="1905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mn-lt"/>
                  <a:ea typeface="+mn-ea"/>
                  <a:cs typeface="+mn-cs"/>
                </a:defRPr>
              </a:pPr>
              <a:endParaRPr lang="en-US"/>
            </a:p>
          </c:txPr>
          <c:dLblPos val="inEnd"/>
          <c:showLegendKey val="0"/>
          <c:showVal val="0"/>
          <c:showCatName val="0"/>
          <c:showSerName val="1"/>
          <c:showPercent val="0"/>
          <c:showBubbleSize val="0"/>
          <c:extLst>
            <c:ext xmlns:c15="http://schemas.microsoft.com/office/drawing/2012/chart" uri="{CE6537A1-D6FC-4f65-9D91-7224C49458BB}"/>
          </c:extLst>
        </c:dLbl>
      </c:pivotFmt>
      <c:pivotFmt>
        <c:idx val="29"/>
        <c:spPr>
          <a:solidFill>
            <a:srgbClr val="FFC267"/>
          </a:solidFill>
          <a:ln>
            <a:noFill/>
          </a:ln>
          <a:effectLst>
            <a:outerShdw blurRad="50800" dist="38100" dir="2700000" algn="tl" rotWithShape="0">
              <a:prstClr val="black">
                <a:alpha val="40000"/>
              </a:prstClr>
            </a:outerShdw>
          </a:effectLst>
          <a:scene3d>
            <a:camera prst="orthographicFront"/>
            <a:lightRig rig="threePt" dir="t"/>
          </a:scene3d>
          <a:sp3d>
            <a:bevelT h="1905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mn-lt"/>
                  <a:ea typeface="+mn-ea"/>
                  <a:cs typeface="+mn-cs"/>
                </a:defRPr>
              </a:pPr>
              <a:endParaRPr lang="en-US"/>
            </a:p>
          </c:txPr>
          <c:dLblPos val="inEnd"/>
          <c:showLegendKey val="0"/>
          <c:showVal val="0"/>
          <c:showCatName val="0"/>
          <c:showSerName val="1"/>
          <c:showPercent val="0"/>
          <c:showBubbleSize val="0"/>
          <c:extLst>
            <c:ext xmlns:c15="http://schemas.microsoft.com/office/drawing/2012/chart" uri="{CE6537A1-D6FC-4f65-9D91-7224C49458BB}"/>
          </c:extLst>
        </c:dLbl>
      </c:pivotFmt>
      <c:pivotFmt>
        <c:idx val="30"/>
        <c:spPr>
          <a:solidFill>
            <a:srgbClr val="FF7D67"/>
          </a:solidFill>
          <a:ln>
            <a:noFill/>
          </a:ln>
          <a:effectLst>
            <a:outerShdw blurRad="50800" dist="38100" dir="2700000" algn="tl" rotWithShape="0">
              <a:prstClr val="black">
                <a:alpha val="40000"/>
              </a:prstClr>
            </a:outerShdw>
          </a:effectLst>
          <a:scene3d>
            <a:camera prst="orthographicFront"/>
            <a:lightRig rig="threePt" dir="t"/>
          </a:scene3d>
          <a:sp3d>
            <a:bevelT h="1905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mn-lt"/>
                  <a:ea typeface="+mn-ea"/>
                  <a:cs typeface="+mn-cs"/>
                </a:defRPr>
              </a:pPr>
              <a:endParaRPr lang="en-US"/>
            </a:p>
          </c:txPr>
          <c:dLblPos val="inEnd"/>
          <c:showLegendKey val="0"/>
          <c:showVal val="0"/>
          <c:showCatName val="0"/>
          <c:showSerName val="1"/>
          <c:showPercent val="0"/>
          <c:showBubbleSize val="0"/>
          <c:extLst>
            <c:ext xmlns:c15="http://schemas.microsoft.com/office/drawing/2012/chart" uri="{CE6537A1-D6FC-4f65-9D91-7224C49458BB}"/>
          </c:extLst>
        </c:dLbl>
      </c:pivotFmt>
    </c:pivotFmts>
    <c:plotArea>
      <c:layout>
        <c:manualLayout>
          <c:layoutTarget val="inner"/>
          <c:xMode val="edge"/>
          <c:yMode val="edge"/>
          <c:x val="0.2647228906036479"/>
          <c:y val="8.6854148742479709E-2"/>
          <c:w val="0.66721831478239946"/>
          <c:h val="0.81379108263007549"/>
        </c:manualLayout>
      </c:layout>
      <c:barChart>
        <c:barDir val="col"/>
        <c:grouping val="percentStacked"/>
        <c:varyColors val="0"/>
        <c:ser>
          <c:idx val="0"/>
          <c:order val="0"/>
          <c:spPr>
            <a:solidFill>
              <a:srgbClr val="7DB17A"/>
            </a:solidFill>
            <a:ln>
              <a:noFill/>
            </a:ln>
            <a:effectLst>
              <a:outerShdw blurRad="50800" dist="38100" dir="2700000" algn="tl" rotWithShape="0">
                <a:prstClr val="black">
                  <a:alpha val="40000"/>
                </a:prstClr>
              </a:outerShdw>
            </a:effectLst>
            <a:scene3d>
              <a:camera prst="orthographicFront"/>
              <a:lightRig rig="threePt" dir="t"/>
            </a:scene3d>
            <a:sp3d>
              <a:bevelT h="19050"/>
            </a:sp3d>
          </c:spPr>
          <c:invertIfNegative val="0"/>
          <c:dLbls>
            <c:dLbl>
              <c:idx val="0"/>
              <c:tx>
                <c:rich>
                  <a:bodyPr/>
                  <a:lstStyle/>
                  <a:p>
                    <a:r>
                      <a:rPr lang="en-US"/>
                      <a:t>A</a:t>
                    </a:r>
                  </a:p>
                </c:rich>
              </c:tx>
              <c:dLblPos val="inEnd"/>
              <c:showLegendKey val="0"/>
              <c:showVal val="0"/>
              <c:showCatName val="0"/>
              <c:showSerName val="1"/>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0-3F8E-4DFC-BA6F-E663545E16A4}"/>
                </c:ext>
              </c:extLst>
            </c:dLbl>
            <c:dLbl>
              <c:idx val="1"/>
              <c:tx>
                <c:rich>
                  <a:bodyPr/>
                  <a:lstStyle/>
                  <a:p>
                    <a:r>
                      <a:rPr lang="en-US"/>
                      <a:t>A</a:t>
                    </a:r>
                  </a:p>
                </c:rich>
              </c:tx>
              <c:dLblPos val="inEnd"/>
              <c:showLegendKey val="0"/>
              <c:showVal val="0"/>
              <c:showCatName val="0"/>
              <c:showSerName val="1"/>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5-3F8E-4DFC-BA6F-E663545E16A4}"/>
                </c:ext>
              </c:extLst>
            </c:dLbl>
            <c:spPr>
              <a:noFill/>
              <a:ln>
                <a:noFill/>
              </a:ln>
              <a:effectLst/>
            </c:spPr>
            <c:txPr>
              <a:bodyPr rot="0" spcFirstLastPara="1" vertOverflow="overflow" horzOverflow="overflow" vert="horz" wrap="square" lIns="38100" tIns="19050" rIns="38100" bIns="19050" anchor="t" anchorCtr="1">
                <a:spAutoFit/>
              </a:bodyPr>
              <a:lstStyle/>
              <a:p>
                <a:pPr>
                  <a:defRPr sz="1400" b="1" i="0" u="none" strike="noStrike" kern="1200" baseline="0">
                    <a:ln>
                      <a:noFill/>
                    </a:ln>
                    <a:solidFill>
                      <a:schemeClr val="tx1">
                        <a:lumMod val="75000"/>
                        <a:lumOff val="25000"/>
                      </a:schemeClr>
                    </a:solidFill>
                    <a:latin typeface="+mn-lt"/>
                    <a:ea typeface="+mn-ea"/>
                    <a:cs typeface="+mn-cs"/>
                  </a:defRPr>
                </a:pPr>
                <a:endParaRPr lang="en-US"/>
              </a:p>
            </c:txPr>
            <c:dLblPos val="inEnd"/>
            <c:showLegendKey val="0"/>
            <c:showVal val="0"/>
            <c:showCatName val="0"/>
            <c:showSerName val="1"/>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'October calculations'!$B$392:$C$392</c:f>
              <c:numCache>
                <c:formatCode>0%</c:formatCode>
                <c:ptCount val="2"/>
                <c:pt idx="0">
                  <c:v>0.11604095563139932</c:v>
                </c:pt>
                <c:pt idx="1">
                  <c:v>0.35069444444444442</c:v>
                </c:pt>
              </c:numCache>
            </c:numRef>
          </c:val>
          <c:extLst>
            <c:ext xmlns:c15="http://schemas.microsoft.com/office/drawing/2012/chart" uri="{02D57815-91ED-43cb-92C2-25804820EDAC}">
              <c15:filteredSeriesTitle>
                <c15:tx>
                  <c:strRef>
                    <c:extLst>
                      <c:ext uri="{02D57815-91ED-43cb-92C2-25804820EDAC}">
                        <c15:formulaRef>
                          <c15:sqref>'October calculations'!$A$392</c15:sqref>
                        </c15:formulaRef>
                      </c:ext>
                    </c:extLst>
                    <c:strCache>
                      <c:ptCount val="1"/>
                      <c:pt idx="0">
                        <c:v>A</c:v>
                      </c:pt>
                    </c:strCache>
                  </c:strRef>
                </c15:tx>
              </c15:filteredSeriesTitle>
            </c:ext>
            <c:ext xmlns:c15="http://schemas.microsoft.com/office/drawing/2012/chart" uri="{02D57815-91ED-43cb-92C2-25804820EDAC}">
              <c15:filteredCategoryTitle>
                <c15:cat>
                  <c:strRef>
                    <c:extLst>
                      <c:ext uri="{02D57815-91ED-43cb-92C2-25804820EDAC}">
                        <c15:formulaRef>
                          <c15:sqref>'October calculations'!$B$391:$C$391</c15:sqref>
                        </c15:formulaRef>
                      </c:ext>
                    </c:extLst>
                    <c:strCache>
                      <c:ptCount val="2"/>
                      <c:pt idx="0">
                        <c:v>Apr 2017</c:v>
                      </c:pt>
                      <c:pt idx="1">
                        <c:v>Nov 2017</c:v>
                      </c:pt>
                    </c:strCache>
                  </c:strRef>
                </c15:cat>
              </c15:filteredCategoryTitle>
            </c:ext>
            <c:ext xmlns:c16="http://schemas.microsoft.com/office/drawing/2014/chart" uri="{C3380CC4-5D6E-409C-BE32-E72D297353CC}">
              <c16:uniqueId val="{00000000-C4AC-435A-AAD3-A04F876FCEBD}"/>
            </c:ext>
          </c:extLst>
        </c:ser>
        <c:ser>
          <c:idx val="1"/>
          <c:order val="1"/>
          <c:spPr>
            <a:solidFill>
              <a:srgbClr val="C1FFC1"/>
            </a:solidFill>
            <a:ln>
              <a:noFill/>
            </a:ln>
            <a:effectLst>
              <a:outerShdw blurRad="50800" dist="38100" dir="2700000" algn="tl" rotWithShape="0">
                <a:prstClr val="black">
                  <a:alpha val="40000"/>
                </a:prstClr>
              </a:outerShdw>
            </a:effectLst>
            <a:scene3d>
              <a:camera prst="orthographicFront"/>
              <a:lightRig rig="threePt" dir="t"/>
            </a:scene3d>
            <a:sp3d>
              <a:bevelT h="19050"/>
            </a:sp3d>
          </c:spPr>
          <c:invertIfNegative val="0"/>
          <c:dLbls>
            <c:dLbl>
              <c:idx val="0"/>
              <c:tx>
                <c:rich>
                  <a:bodyPr/>
                  <a:lstStyle/>
                  <a:p>
                    <a:r>
                      <a:rPr lang="en-US"/>
                      <a:t>B</a:t>
                    </a:r>
                  </a:p>
                </c:rich>
              </c:tx>
              <c:dLblPos val="inEnd"/>
              <c:showLegendKey val="0"/>
              <c:showVal val="0"/>
              <c:showCatName val="0"/>
              <c:showSerName val="1"/>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1-3F8E-4DFC-BA6F-E663545E16A4}"/>
                </c:ext>
              </c:extLst>
            </c:dLbl>
            <c:dLbl>
              <c:idx val="1"/>
              <c:tx>
                <c:rich>
                  <a:bodyPr/>
                  <a:lstStyle/>
                  <a:p>
                    <a:r>
                      <a:rPr lang="en-US"/>
                      <a:t>B</a:t>
                    </a:r>
                  </a:p>
                </c:rich>
              </c:tx>
              <c:dLblPos val="inEnd"/>
              <c:showLegendKey val="0"/>
              <c:showVal val="0"/>
              <c:showCatName val="0"/>
              <c:showSerName val="1"/>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6-3F8E-4DFC-BA6F-E663545E16A4}"/>
                </c:ext>
              </c:extLst>
            </c:dLbl>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mn-lt"/>
                    <a:ea typeface="+mn-ea"/>
                    <a:cs typeface="+mn-cs"/>
                  </a:defRPr>
                </a:pPr>
                <a:endParaRPr lang="en-US"/>
              </a:p>
            </c:txPr>
            <c:dLblPos val="inEnd"/>
            <c:showLegendKey val="0"/>
            <c:showVal val="0"/>
            <c:showCatName val="0"/>
            <c:showSerName val="1"/>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'October calculations'!$B$393:$C$393</c:f>
              <c:numCache>
                <c:formatCode>0%</c:formatCode>
                <c:ptCount val="2"/>
                <c:pt idx="0">
                  <c:v>0.32764505119453924</c:v>
                </c:pt>
                <c:pt idx="1">
                  <c:v>0.16319444444444445</c:v>
                </c:pt>
              </c:numCache>
            </c:numRef>
          </c:val>
          <c:extLst>
            <c:ext xmlns:c15="http://schemas.microsoft.com/office/drawing/2012/chart" uri="{02D57815-91ED-43cb-92C2-25804820EDAC}">
              <c15:filteredSeriesTitle>
                <c15:tx>
                  <c:strRef>
                    <c:extLst>
                      <c:ext uri="{02D57815-91ED-43cb-92C2-25804820EDAC}">
                        <c15:formulaRef>
                          <c15:sqref>'October calculations'!$A$393</c15:sqref>
                        </c15:formulaRef>
                      </c:ext>
                    </c:extLst>
                    <c:strCache>
                      <c:ptCount val="1"/>
                      <c:pt idx="0">
                        <c:v>B</c:v>
                      </c:pt>
                    </c:strCache>
                  </c:strRef>
                </c15:tx>
              </c15:filteredSeriesTitle>
            </c:ext>
            <c:ext xmlns:c15="http://schemas.microsoft.com/office/drawing/2012/chart" uri="{02D57815-91ED-43cb-92C2-25804820EDAC}">
              <c15:filteredCategoryTitle>
                <c15:cat>
                  <c:strRef>
                    <c:extLst>
                      <c:ext uri="{02D57815-91ED-43cb-92C2-25804820EDAC}">
                        <c15:formulaRef>
                          <c15:sqref>'October calculations'!$B$391:$C$391</c15:sqref>
                        </c15:formulaRef>
                      </c:ext>
                    </c:extLst>
                    <c:strCache>
                      <c:ptCount val="2"/>
                      <c:pt idx="0">
                        <c:v>Apr 2017</c:v>
                      </c:pt>
                      <c:pt idx="1">
                        <c:v>Nov 2017</c:v>
                      </c:pt>
                    </c:strCache>
                  </c:strRef>
                </c15:cat>
              </c15:filteredCategoryTitle>
            </c:ext>
            <c:ext xmlns:c16="http://schemas.microsoft.com/office/drawing/2014/chart" uri="{C3380CC4-5D6E-409C-BE32-E72D297353CC}">
              <c16:uniqueId val="{00000001-C4AC-435A-AAD3-A04F876FCEBD}"/>
            </c:ext>
          </c:extLst>
        </c:ser>
        <c:ser>
          <c:idx val="2"/>
          <c:order val="2"/>
          <c:spPr>
            <a:solidFill>
              <a:srgbClr val="FFEB84"/>
            </a:solidFill>
            <a:ln>
              <a:noFill/>
            </a:ln>
            <a:effectLst>
              <a:outerShdw blurRad="50800" dist="38100" dir="2700000" algn="ctr" rotWithShape="0">
                <a:srgbClr val="000000">
                  <a:alpha val="40000"/>
                </a:srgbClr>
              </a:outerShdw>
            </a:effectLst>
            <a:scene3d>
              <a:camera prst="orthographicFront"/>
              <a:lightRig rig="threePt" dir="t"/>
            </a:scene3d>
            <a:sp3d>
              <a:bevelT h="19050"/>
            </a:sp3d>
          </c:spPr>
          <c:invertIfNegative val="0"/>
          <c:dLbls>
            <c:dLbl>
              <c:idx val="0"/>
              <c:tx>
                <c:rich>
                  <a:bodyPr/>
                  <a:lstStyle/>
                  <a:p>
                    <a:r>
                      <a:rPr lang="en-US"/>
                      <a:t>C</a:t>
                    </a:r>
                  </a:p>
                </c:rich>
              </c:tx>
              <c:showLegendKey val="0"/>
              <c:showVal val="0"/>
              <c:showCatName val="0"/>
              <c:showSerName val="1"/>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2-3F8E-4DFC-BA6F-E663545E16A4}"/>
                </c:ext>
              </c:extLst>
            </c:dLbl>
            <c:dLbl>
              <c:idx val="1"/>
              <c:tx>
                <c:rich>
                  <a:bodyPr/>
                  <a:lstStyle/>
                  <a:p>
                    <a:r>
                      <a:rPr lang="en-US"/>
                      <a:t>C</a:t>
                    </a:r>
                  </a:p>
                </c:rich>
              </c:tx>
              <c:showLegendKey val="0"/>
              <c:showVal val="0"/>
              <c:showCatName val="0"/>
              <c:showSerName val="1"/>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7-3F8E-4DFC-BA6F-E663545E16A4}"/>
                </c:ext>
              </c:extLst>
            </c:dLbl>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1"/>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'October calculations'!$B$394:$C$394</c:f>
              <c:numCache>
                <c:formatCode>0%</c:formatCode>
                <c:ptCount val="2"/>
                <c:pt idx="0">
                  <c:v>0.15358361774744028</c:v>
                </c:pt>
                <c:pt idx="1">
                  <c:v>0.22222222222222221</c:v>
                </c:pt>
              </c:numCache>
            </c:numRef>
          </c:val>
          <c:extLst>
            <c:ext xmlns:c15="http://schemas.microsoft.com/office/drawing/2012/chart" uri="{02D57815-91ED-43cb-92C2-25804820EDAC}">
              <c15:filteredSeriesTitle>
                <c15:tx>
                  <c:strRef>
                    <c:extLst>
                      <c:ext uri="{02D57815-91ED-43cb-92C2-25804820EDAC}">
                        <c15:formulaRef>
                          <c15:sqref>'October calculations'!$A$394</c15:sqref>
                        </c15:formulaRef>
                      </c:ext>
                    </c:extLst>
                    <c:strCache>
                      <c:ptCount val="1"/>
                      <c:pt idx="0">
                        <c:v>C</c:v>
                      </c:pt>
                    </c:strCache>
                  </c:strRef>
                </c15:tx>
              </c15:filteredSeriesTitle>
            </c:ext>
            <c:ext xmlns:c15="http://schemas.microsoft.com/office/drawing/2012/chart" uri="{02D57815-91ED-43cb-92C2-25804820EDAC}">
              <c15:filteredCategoryTitle>
                <c15:cat>
                  <c:strRef>
                    <c:extLst>
                      <c:ext uri="{02D57815-91ED-43cb-92C2-25804820EDAC}">
                        <c15:formulaRef>
                          <c15:sqref>'October calculations'!$B$391:$C$391</c15:sqref>
                        </c15:formulaRef>
                      </c:ext>
                    </c:extLst>
                    <c:strCache>
                      <c:ptCount val="2"/>
                      <c:pt idx="0">
                        <c:v>Apr 2017</c:v>
                      </c:pt>
                      <c:pt idx="1">
                        <c:v>Nov 2017</c:v>
                      </c:pt>
                    </c:strCache>
                  </c:strRef>
                </c15:cat>
              </c15:filteredCategoryTitle>
            </c:ext>
            <c:ext xmlns:c16="http://schemas.microsoft.com/office/drawing/2014/chart" uri="{C3380CC4-5D6E-409C-BE32-E72D297353CC}">
              <c16:uniqueId val="{00000002-C4AC-435A-AAD3-A04F876FCEBD}"/>
            </c:ext>
          </c:extLst>
        </c:ser>
        <c:ser>
          <c:idx val="3"/>
          <c:order val="3"/>
          <c:spPr>
            <a:solidFill>
              <a:srgbClr val="FBAA77"/>
            </a:solidFill>
            <a:ln>
              <a:noFill/>
            </a:ln>
            <a:effectLst>
              <a:outerShdw blurRad="50800" dist="38100" dir="2700000" algn="ctr" rotWithShape="0">
                <a:srgbClr val="000000">
                  <a:alpha val="40000"/>
                </a:srgbClr>
              </a:outerShdw>
            </a:effectLst>
            <a:scene3d>
              <a:camera prst="orthographicFront"/>
              <a:lightRig rig="threePt" dir="t"/>
            </a:scene3d>
            <a:sp3d>
              <a:bevelT h="19050"/>
            </a:sp3d>
          </c:spPr>
          <c:invertIfNegative val="0"/>
          <c:dLbls>
            <c:dLbl>
              <c:idx val="0"/>
              <c:tx>
                <c:rich>
                  <a:bodyPr/>
                  <a:lstStyle/>
                  <a:p>
                    <a:r>
                      <a:rPr lang="en-US"/>
                      <a:t>D</a:t>
                    </a:r>
                  </a:p>
                </c:rich>
              </c:tx>
              <c:showLegendKey val="0"/>
              <c:showVal val="0"/>
              <c:showCatName val="0"/>
              <c:showSerName val="1"/>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3-3F8E-4DFC-BA6F-E663545E16A4}"/>
                </c:ext>
              </c:extLst>
            </c:dLbl>
            <c:dLbl>
              <c:idx val="1"/>
              <c:tx>
                <c:rich>
                  <a:bodyPr/>
                  <a:lstStyle/>
                  <a:p>
                    <a:r>
                      <a:rPr lang="en-US"/>
                      <a:t>D</a:t>
                    </a:r>
                  </a:p>
                </c:rich>
              </c:tx>
              <c:showLegendKey val="0"/>
              <c:showVal val="0"/>
              <c:showCatName val="0"/>
              <c:showSerName val="1"/>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8-3F8E-4DFC-BA6F-E663545E16A4}"/>
                </c:ext>
              </c:extLst>
            </c:dLbl>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1"/>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'October calculations'!$B$395:$C$395</c:f>
              <c:numCache>
                <c:formatCode>0%</c:formatCode>
                <c:ptCount val="2"/>
                <c:pt idx="0">
                  <c:v>0.16723549488054607</c:v>
                </c:pt>
                <c:pt idx="1">
                  <c:v>0.12847222222222221</c:v>
                </c:pt>
              </c:numCache>
            </c:numRef>
          </c:val>
          <c:extLst>
            <c:ext xmlns:c15="http://schemas.microsoft.com/office/drawing/2012/chart" uri="{02D57815-91ED-43cb-92C2-25804820EDAC}">
              <c15:filteredSeriesTitle>
                <c15:tx>
                  <c:strRef>
                    <c:extLst>
                      <c:ext uri="{02D57815-91ED-43cb-92C2-25804820EDAC}">
                        <c15:formulaRef>
                          <c15:sqref>'October calculations'!$A$395</c15:sqref>
                        </c15:formulaRef>
                      </c:ext>
                    </c:extLst>
                    <c:strCache>
                      <c:ptCount val="1"/>
                      <c:pt idx="0">
                        <c:v>D</c:v>
                      </c:pt>
                    </c:strCache>
                  </c:strRef>
                </c15:tx>
              </c15:filteredSeriesTitle>
            </c:ext>
            <c:ext xmlns:c15="http://schemas.microsoft.com/office/drawing/2012/chart" uri="{02D57815-91ED-43cb-92C2-25804820EDAC}">
              <c15:filteredCategoryTitle>
                <c15:cat>
                  <c:strRef>
                    <c:extLst>
                      <c:ext uri="{02D57815-91ED-43cb-92C2-25804820EDAC}">
                        <c15:formulaRef>
                          <c15:sqref>'October calculations'!$B$391:$C$391</c15:sqref>
                        </c15:formulaRef>
                      </c:ext>
                    </c:extLst>
                    <c:strCache>
                      <c:ptCount val="2"/>
                      <c:pt idx="0">
                        <c:v>Apr 2017</c:v>
                      </c:pt>
                      <c:pt idx="1">
                        <c:v>Nov 2017</c:v>
                      </c:pt>
                    </c:strCache>
                  </c:strRef>
                </c15:cat>
              </c15:filteredCategoryTitle>
            </c:ext>
            <c:ext xmlns:c16="http://schemas.microsoft.com/office/drawing/2014/chart" uri="{C3380CC4-5D6E-409C-BE32-E72D297353CC}">
              <c16:uniqueId val="{00000003-C4AC-435A-AAD3-A04F876FCEBD}"/>
            </c:ext>
          </c:extLst>
        </c:ser>
        <c:ser>
          <c:idx val="4"/>
          <c:order val="4"/>
          <c:spPr>
            <a:solidFill>
              <a:srgbClr val="FF7D67"/>
            </a:solidFill>
            <a:ln>
              <a:noFill/>
            </a:ln>
            <a:effectLst>
              <a:outerShdw blurRad="50800" dist="38100" dir="2700000" algn="ctr" rotWithShape="0">
                <a:srgbClr val="000000">
                  <a:alpha val="40000"/>
                </a:srgbClr>
              </a:outerShdw>
            </a:effectLst>
            <a:scene3d>
              <a:camera prst="orthographicFront"/>
              <a:lightRig rig="threePt" dir="t"/>
            </a:scene3d>
            <a:sp3d>
              <a:bevelT h="19050"/>
            </a:sp3d>
          </c:spPr>
          <c:invertIfNegative val="0"/>
          <c:dLbls>
            <c:dLbl>
              <c:idx val="0"/>
              <c:tx>
                <c:rich>
                  <a:bodyPr/>
                  <a:lstStyle/>
                  <a:p>
                    <a:r>
                      <a:rPr lang="en-US"/>
                      <a:t>E</a:t>
                    </a:r>
                  </a:p>
                </c:rich>
              </c:tx>
              <c:showLegendKey val="0"/>
              <c:showVal val="0"/>
              <c:showCatName val="0"/>
              <c:showSerName val="1"/>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4-3F8E-4DFC-BA6F-E663545E16A4}"/>
                </c:ext>
              </c:extLst>
            </c:dLbl>
            <c:dLbl>
              <c:idx val="1"/>
              <c:tx>
                <c:rich>
                  <a:bodyPr/>
                  <a:lstStyle/>
                  <a:p>
                    <a:r>
                      <a:rPr lang="en-US"/>
                      <a:t>E</a:t>
                    </a:r>
                  </a:p>
                </c:rich>
              </c:tx>
              <c:showLegendKey val="0"/>
              <c:showVal val="0"/>
              <c:showCatName val="0"/>
              <c:showSerName val="1"/>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9-3F8E-4DFC-BA6F-E663545E16A4}"/>
                </c:ext>
              </c:extLst>
            </c:dLbl>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1"/>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'October calculations'!$B$396:$C$396</c:f>
              <c:numCache>
                <c:formatCode>0%</c:formatCode>
                <c:ptCount val="2"/>
                <c:pt idx="0">
                  <c:v>0.23549488054607509</c:v>
                </c:pt>
                <c:pt idx="1">
                  <c:v>0.13541666666666666</c:v>
                </c:pt>
              </c:numCache>
            </c:numRef>
          </c:val>
          <c:extLst>
            <c:ext xmlns:c15="http://schemas.microsoft.com/office/drawing/2012/chart" uri="{02D57815-91ED-43cb-92C2-25804820EDAC}">
              <c15:filteredSeriesTitle>
                <c15:tx>
                  <c:strRef>
                    <c:extLst>
                      <c:ext uri="{02D57815-91ED-43cb-92C2-25804820EDAC}">
                        <c15:formulaRef>
                          <c15:sqref>'October calculations'!$A$396</c15:sqref>
                        </c15:formulaRef>
                      </c:ext>
                    </c:extLst>
                    <c:strCache>
                      <c:ptCount val="1"/>
                      <c:pt idx="0">
                        <c:v>E</c:v>
                      </c:pt>
                    </c:strCache>
                  </c:strRef>
                </c15:tx>
              </c15:filteredSeriesTitle>
            </c:ext>
            <c:ext xmlns:c15="http://schemas.microsoft.com/office/drawing/2012/chart" uri="{02D57815-91ED-43cb-92C2-25804820EDAC}">
              <c15:filteredCategoryTitle>
                <c15:cat>
                  <c:strRef>
                    <c:extLst>
                      <c:ext uri="{02D57815-91ED-43cb-92C2-25804820EDAC}">
                        <c15:formulaRef>
                          <c15:sqref>'October calculations'!$B$391:$C$391</c15:sqref>
                        </c15:formulaRef>
                      </c:ext>
                    </c:extLst>
                    <c:strCache>
                      <c:ptCount val="2"/>
                      <c:pt idx="0">
                        <c:v>Apr 2017</c:v>
                      </c:pt>
                      <c:pt idx="1">
                        <c:v>Nov 2017</c:v>
                      </c:pt>
                    </c:strCache>
                  </c:strRef>
                </c15:cat>
              </c15:filteredCategoryTitle>
            </c:ext>
            <c:ext xmlns:c16="http://schemas.microsoft.com/office/drawing/2014/chart" uri="{C3380CC4-5D6E-409C-BE32-E72D297353CC}">
              <c16:uniqueId val="{00000004-C4AC-435A-AAD3-A04F876FCEBD}"/>
            </c:ext>
          </c:extLst>
        </c:ser>
        <c:dLbls>
          <c:showLegendKey val="0"/>
          <c:showVal val="1"/>
          <c:showCatName val="0"/>
          <c:showSerName val="0"/>
          <c:showPercent val="0"/>
          <c:showBubbleSize val="0"/>
        </c:dLbls>
        <c:gapWidth val="60"/>
        <c:overlap val="100"/>
        <c:axId val="1829164016"/>
        <c:axId val="1742261216"/>
      </c:barChart>
      <c:catAx>
        <c:axId val="18291640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t" anchorCtr="1"/>
          <a:lstStyle/>
          <a:p>
            <a:pPr>
              <a:defRPr sz="1200" b="1" i="0" u="none" strike="noStrike" kern="1200" baseline="0">
                <a:solidFill>
                  <a:schemeClr val="tx1">
                    <a:lumMod val="65000"/>
                    <a:lumOff val="35000"/>
                  </a:schemeClr>
                </a:solidFill>
                <a:latin typeface="+mn-lt"/>
                <a:ea typeface="+mn-ea"/>
                <a:cs typeface="+mn-cs"/>
              </a:defRPr>
            </a:pPr>
            <a:endParaRPr lang="en-US"/>
          </a:p>
        </c:txPr>
        <c:crossAx val="1742261216"/>
        <c:crossesAt val="0"/>
        <c:auto val="0"/>
        <c:lblAlgn val="ctr"/>
        <c:lblOffset val="0"/>
        <c:noMultiLvlLbl val="0"/>
      </c:catAx>
      <c:valAx>
        <c:axId val="1742261216"/>
        <c:scaling>
          <c:orientation val="minMax"/>
        </c:scaling>
        <c:delete val="0"/>
        <c:axPos val="l"/>
        <c:majorGridlines>
          <c:spPr>
            <a:ln w="19050" cap="flat" cmpd="sng" algn="ctr">
              <a:solidFill>
                <a:schemeClr val="tx1">
                  <a:lumMod val="15000"/>
                  <a:lumOff val="85000"/>
                </a:schemeClr>
              </a:solidFill>
              <a:round/>
            </a:ln>
            <a:effectLst/>
          </c:spPr>
        </c:majorGridlines>
        <c:minorGridlines>
          <c:spPr>
            <a:ln w="2857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r>
                  <a:rPr lang="en-GB"/>
                  <a:t>% Authorities</a:t>
                </a:r>
              </a:p>
            </c:rich>
          </c:tx>
          <c:overlay val="0"/>
          <c:spPr>
            <a:noFill/>
            <a:ln>
              <a:noFill/>
            </a:ln>
            <a:effectLst/>
          </c:spPr>
          <c:txPr>
            <a:bodyPr rot="-540000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cross"/>
        <c:minorTickMark val="in"/>
        <c:tickLblPos val="nextTo"/>
        <c:spPr>
          <a:noFill/>
          <a:ln>
            <a:solidFill>
              <a:schemeClr val="tx1">
                <a:lumMod val="15000"/>
                <a:lumOff val="85000"/>
              </a:schemeClr>
            </a:solidFill>
          </a:ln>
          <a:effectLst/>
        </c:spPr>
        <c:txPr>
          <a:bodyPr rot="0" spcFirstLastPara="1" vertOverflow="ellipsis" wrap="square" anchor="b"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1829164016"/>
        <c:crosses val="autoZero"/>
        <c:crossBetween val="between"/>
        <c:majorUnit val="0.1"/>
        <c:minorUnit val="5.000000000000001E-2"/>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a:outerShdw blurRad="50800" dist="127000" dir="2700000" algn="tl" rotWithShape="0">
        <a:prstClr val="black">
          <a:alpha val="40000"/>
        </a:prstClr>
      </a:outerShdw>
    </a:effectLst>
    <a:scene3d>
      <a:camera prst="orthographicFront"/>
      <a:lightRig rig="threePt" dir="t"/>
    </a:scene3d>
    <a:sp3d prstMaterial="matte">
      <a:bevelT/>
    </a:sp3d>
  </c:spPr>
  <c:txPr>
    <a:bodyPr/>
    <a:lstStyle/>
    <a:p>
      <a:pPr>
        <a:defRPr/>
      </a:pPr>
      <a:endParaRPr lang="en-US"/>
    </a:p>
  </c:txPr>
  <c:externalData r:id="rId4">
    <c:autoUpdate val="0"/>
  </c:externalData>
  <c:extLst/>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0"/>
          <a:lstStyle/>
          <a:p>
            <a:pPr algn="ctr" rtl="0">
              <a:defRPr lang="en-GB" sz="1200" b="1" i="0" u="none" strike="noStrike" kern="1200" cap="none" spc="0" baseline="0">
                <a:solidFill>
                  <a:sysClr val="windowText" lastClr="000000">
                    <a:lumMod val="65000"/>
                    <a:lumOff val="35000"/>
                  </a:sysClr>
                </a:solidFill>
                <a:latin typeface="+mn-lt"/>
                <a:ea typeface="+mn-ea"/>
                <a:cs typeface="+mn-cs"/>
              </a:defRPr>
            </a:pPr>
            <a:r>
              <a:rPr lang="en-US"/>
              <a:t>Wales S167 Grade</a:t>
            </a:r>
          </a:p>
        </c:rich>
      </c:tx>
      <c:layout>
        <c:manualLayout>
          <c:xMode val="edge"/>
          <c:yMode val="edge"/>
          <c:x val="0.16410252135166792"/>
          <c:y val="1.7364339389431542E-2"/>
        </c:manualLayout>
      </c:layout>
      <c:overlay val="0"/>
      <c:spPr>
        <a:solidFill>
          <a:schemeClr val="bg1"/>
        </a:solidFill>
        <a:ln>
          <a:noFill/>
        </a:ln>
        <a:effectLst/>
      </c:spPr>
      <c:txPr>
        <a:bodyPr rot="0" spcFirstLastPara="1" vertOverflow="ellipsis" vert="horz" wrap="square" anchor="ctr" anchorCtr="0"/>
        <a:lstStyle/>
        <a:p>
          <a:pPr algn="ctr" rtl="0">
            <a:defRPr lang="en-GB" sz="1200" b="1" i="0" u="none" strike="noStrike" kern="1200" cap="none" spc="0" baseline="0">
              <a:solidFill>
                <a:sysClr val="windowText" lastClr="000000">
                  <a:lumMod val="65000"/>
                  <a:lumOff val="35000"/>
                </a:sysClr>
              </a:solidFill>
              <a:latin typeface="+mn-lt"/>
              <a:ea typeface="+mn-ea"/>
              <a:cs typeface="+mn-cs"/>
            </a:defRPr>
          </a:pPr>
          <a:endParaRPr lang="en-US"/>
        </a:p>
      </c:txPr>
    </c:title>
    <c:autoTitleDeleted val="0"/>
    <c:pivotFmts>
      <c:pivotFmt>
        <c:idx val="0"/>
        <c:spPr>
          <a:solidFill>
            <a:schemeClr val="accent1"/>
          </a:solidFill>
          <a:ln>
            <a:noFill/>
          </a:ln>
          <a:effectLst/>
        </c:spPr>
        <c:marker>
          <c:symbol val="none"/>
        </c:marker>
      </c:pivotFmt>
      <c:pivotFmt>
        <c:idx val="1"/>
        <c:spPr>
          <a:solidFill>
            <a:schemeClr val="accent1"/>
          </a:solidFill>
          <a:ln>
            <a:noFill/>
          </a:ln>
          <a:effectLst/>
        </c:spPr>
        <c:marker>
          <c:symbol val="none"/>
        </c:marker>
      </c:pivotFmt>
      <c:pivotFmt>
        <c:idx val="2"/>
        <c:spPr>
          <a:solidFill>
            <a:schemeClr val="accent1"/>
          </a:solidFill>
          <a:ln>
            <a:noFill/>
          </a:ln>
          <a:effectLst/>
        </c:spPr>
        <c:marker>
          <c:symbol val="none"/>
        </c:marker>
      </c:pivotFmt>
      <c:pivotFmt>
        <c:idx val="3"/>
        <c:spPr>
          <a:solidFill>
            <a:schemeClr val="accent1"/>
          </a:solidFill>
          <a:ln>
            <a:noFill/>
          </a:ln>
          <a:effectLst/>
        </c:spPr>
        <c:marker>
          <c:symbol val="none"/>
        </c:marker>
      </c:pivotFmt>
      <c:pivotFmt>
        <c:idx val="4"/>
        <c:spPr>
          <a:solidFill>
            <a:schemeClr val="accent1"/>
          </a:solidFill>
          <a:ln>
            <a:noFill/>
          </a:ln>
          <a:effectLst/>
        </c:spPr>
        <c:marker>
          <c:symbol val="none"/>
        </c:marker>
      </c:pivotFmt>
      <c:pivotFmt>
        <c:idx val="5"/>
        <c:spPr>
          <a:solidFill>
            <a:srgbClr val="7DB17A"/>
          </a:solidFill>
          <a:ln>
            <a:noFill/>
          </a:ln>
          <a:effectLst>
            <a:softEdge rad="50800"/>
          </a:effectLst>
          <a:scene3d>
            <a:camera prst="orthographicFront"/>
            <a:lightRig rig="threePt" dir="t"/>
          </a:scene3d>
          <a:sp3d>
            <a:bevelT/>
          </a:sp3d>
        </c:spPr>
        <c:marker>
          <c:symbol val="none"/>
        </c:marker>
        <c:dLbl>
          <c:idx val="0"/>
          <c:spPr>
            <a:noFill/>
            <a:ln>
              <a:noFill/>
            </a:ln>
            <a:effectLst/>
          </c:spPr>
          <c:txPr>
            <a:bodyPr rot="0" spcFirstLastPara="1" vertOverflow="overflow" horzOverflow="overflow" vert="horz" wrap="square" lIns="38100" tIns="19050" rIns="38100" bIns="19050" anchor="t" anchorCtr="1">
              <a:spAutoFit/>
            </a:bodyPr>
            <a:lstStyle/>
            <a:p>
              <a:pPr>
                <a:defRPr sz="1400" b="1" i="0" u="none" strike="noStrike" kern="1200" baseline="0">
                  <a:ln>
                    <a:noFill/>
                  </a:ln>
                  <a:solidFill>
                    <a:schemeClr val="tx1">
                      <a:lumMod val="75000"/>
                      <a:lumOff val="25000"/>
                    </a:schemeClr>
                  </a:solidFill>
                  <a:latin typeface="+mn-lt"/>
                  <a:ea typeface="+mn-ea"/>
                  <a:cs typeface="+mn-cs"/>
                </a:defRPr>
              </a:pPr>
              <a:endParaRPr lang="en-US"/>
            </a:p>
          </c:txPr>
          <c:dLblPos val="inEnd"/>
          <c:showLegendKey val="0"/>
          <c:showVal val="0"/>
          <c:showCatName val="0"/>
          <c:showSerName val="1"/>
          <c:showPercent val="0"/>
          <c:showBubbleSize val="0"/>
          <c:extLst>
            <c:ext xmlns:c15="http://schemas.microsoft.com/office/drawing/2012/chart" uri="{CE6537A1-D6FC-4f65-9D91-7224C49458BB}"/>
          </c:extLst>
        </c:dLbl>
      </c:pivotFmt>
      <c:pivotFmt>
        <c:idx val="6"/>
        <c:spPr>
          <a:solidFill>
            <a:srgbClr val="C1FFC1"/>
          </a:solidFill>
          <a:ln>
            <a:noFill/>
          </a:ln>
          <a:effectLst/>
          <a:scene3d>
            <a:camera prst="orthographicFront"/>
            <a:lightRig rig="threePt" dir="t"/>
          </a:scene3d>
          <a:sp3d>
            <a:bevel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mn-lt"/>
                  <a:ea typeface="+mn-ea"/>
                  <a:cs typeface="+mn-cs"/>
                </a:defRPr>
              </a:pPr>
              <a:endParaRPr lang="en-US"/>
            </a:p>
          </c:txPr>
          <c:dLblPos val="inEnd"/>
          <c:showLegendKey val="0"/>
          <c:showVal val="0"/>
          <c:showCatName val="0"/>
          <c:showSerName val="1"/>
          <c:showPercent val="0"/>
          <c:showBubbleSize val="0"/>
          <c:extLst>
            <c:ext xmlns:c15="http://schemas.microsoft.com/office/drawing/2012/chart" uri="{CE6537A1-D6FC-4f65-9D91-7224C49458BB}"/>
          </c:extLst>
        </c:dLbl>
      </c:pivotFmt>
      <c:pivotFmt>
        <c:idx val="7"/>
        <c:spPr>
          <a:solidFill>
            <a:srgbClr val="FFFF66"/>
          </a:solidFill>
          <a:ln>
            <a:noFill/>
          </a:ln>
          <a:effectLst/>
          <a:scene3d>
            <a:camera prst="orthographicFront"/>
            <a:lightRig rig="threePt" dir="t"/>
          </a:scene3d>
          <a:sp3d>
            <a:bevel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mn-lt"/>
                  <a:ea typeface="+mn-ea"/>
                  <a:cs typeface="+mn-cs"/>
                </a:defRPr>
              </a:pPr>
              <a:endParaRPr lang="en-US"/>
            </a:p>
          </c:txPr>
          <c:dLblPos val="inEnd"/>
          <c:showLegendKey val="0"/>
          <c:showVal val="0"/>
          <c:showCatName val="0"/>
          <c:showSerName val="1"/>
          <c:showPercent val="0"/>
          <c:showBubbleSize val="0"/>
          <c:extLst>
            <c:ext xmlns:c15="http://schemas.microsoft.com/office/drawing/2012/chart" uri="{CE6537A1-D6FC-4f65-9D91-7224C49458BB}"/>
          </c:extLst>
        </c:dLbl>
      </c:pivotFmt>
      <c:pivotFmt>
        <c:idx val="8"/>
        <c:spPr>
          <a:solidFill>
            <a:srgbClr val="FFC267"/>
          </a:solidFill>
          <a:ln>
            <a:noFill/>
          </a:ln>
          <a:effectLst/>
          <a:scene3d>
            <a:camera prst="orthographicFront"/>
            <a:lightRig rig="threePt" dir="t"/>
          </a:scene3d>
          <a:sp3d>
            <a:bevel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mn-lt"/>
                  <a:ea typeface="+mn-ea"/>
                  <a:cs typeface="+mn-cs"/>
                </a:defRPr>
              </a:pPr>
              <a:endParaRPr lang="en-US"/>
            </a:p>
          </c:txPr>
          <c:dLblPos val="inEnd"/>
          <c:showLegendKey val="0"/>
          <c:showVal val="0"/>
          <c:showCatName val="0"/>
          <c:showSerName val="1"/>
          <c:showPercent val="0"/>
          <c:showBubbleSize val="0"/>
          <c:extLst>
            <c:ext xmlns:c15="http://schemas.microsoft.com/office/drawing/2012/chart" uri="{CE6537A1-D6FC-4f65-9D91-7224C49458BB}"/>
          </c:extLst>
        </c:dLbl>
      </c:pivotFmt>
      <c:pivotFmt>
        <c:idx val="9"/>
        <c:spPr>
          <a:solidFill>
            <a:srgbClr val="FF7D67"/>
          </a:solidFill>
          <a:ln>
            <a:noFill/>
          </a:ln>
          <a:effectLst/>
          <a:scene3d>
            <a:camera prst="orthographicFront"/>
            <a:lightRig rig="threePt" dir="t"/>
          </a:scene3d>
          <a:sp3d>
            <a:bevel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mn-lt"/>
                  <a:ea typeface="+mn-ea"/>
                  <a:cs typeface="+mn-cs"/>
                </a:defRPr>
              </a:pPr>
              <a:endParaRPr lang="en-US"/>
            </a:p>
          </c:txPr>
          <c:dLblPos val="inEnd"/>
          <c:showLegendKey val="0"/>
          <c:showVal val="0"/>
          <c:showCatName val="0"/>
          <c:showSerName val="1"/>
          <c:showPercent val="0"/>
          <c:showBubbleSize val="0"/>
          <c:extLst>
            <c:ext xmlns:c15="http://schemas.microsoft.com/office/drawing/2012/chart" uri="{CE6537A1-D6FC-4f65-9D91-7224C49458BB}"/>
          </c:extLst>
        </c:dLbl>
      </c:pivotFmt>
      <c:pivotFmt>
        <c:idx val="10"/>
        <c:spPr>
          <a:solidFill>
            <a:srgbClr val="7DB17A"/>
          </a:solidFill>
          <a:ln>
            <a:noFill/>
          </a:ln>
          <a:effectLst>
            <a:softEdge rad="50800"/>
          </a:effectLst>
          <a:scene3d>
            <a:camera prst="orthographicFront"/>
            <a:lightRig rig="threePt" dir="t"/>
          </a:scene3d>
          <a:sp3d>
            <a:bevelT/>
          </a:sp3d>
        </c:spPr>
      </c:pivotFmt>
      <c:pivotFmt>
        <c:idx val="11"/>
        <c:spPr>
          <a:solidFill>
            <a:srgbClr val="7DB17A"/>
          </a:solidFill>
          <a:ln>
            <a:noFill/>
          </a:ln>
          <a:effectLst>
            <a:softEdge rad="50800"/>
          </a:effectLst>
          <a:scene3d>
            <a:camera prst="orthographicFront"/>
            <a:lightRig rig="threePt" dir="t"/>
          </a:scene3d>
          <a:sp3d>
            <a:bevelT/>
          </a:sp3d>
        </c:spPr>
      </c:pivotFmt>
      <c:pivotFmt>
        <c:idx val="12"/>
        <c:spPr>
          <a:solidFill>
            <a:srgbClr val="7DB17A"/>
          </a:solidFill>
          <a:ln>
            <a:noFill/>
          </a:ln>
          <a:effectLst>
            <a:softEdge rad="50800"/>
          </a:effectLst>
          <a:scene3d>
            <a:camera prst="orthographicFront"/>
            <a:lightRig rig="threePt" dir="t"/>
          </a:scene3d>
          <a:sp3d>
            <a:bevelT/>
          </a:sp3d>
        </c:spPr>
      </c:pivotFmt>
      <c:pivotFmt>
        <c:idx val="13"/>
        <c:spPr>
          <a:solidFill>
            <a:srgbClr val="7DB17A"/>
          </a:solidFill>
          <a:ln>
            <a:noFill/>
          </a:ln>
          <a:effectLst>
            <a:softEdge rad="50800"/>
          </a:effectLst>
          <a:scene3d>
            <a:camera prst="orthographicFront"/>
            <a:lightRig rig="threePt" dir="t"/>
          </a:scene3d>
          <a:sp3d>
            <a:bevelT/>
          </a:sp3d>
        </c:spPr>
      </c:pivotFmt>
      <c:pivotFmt>
        <c:idx val="14"/>
        <c:spPr>
          <a:solidFill>
            <a:srgbClr val="7DB17A"/>
          </a:solidFill>
          <a:ln>
            <a:noFill/>
          </a:ln>
          <a:effectLst>
            <a:softEdge rad="50800"/>
          </a:effectLst>
          <a:scene3d>
            <a:camera prst="orthographicFront"/>
            <a:lightRig rig="threePt" dir="t"/>
          </a:scene3d>
          <a:sp3d>
            <a:bevelT/>
          </a:sp3d>
        </c:spPr>
      </c:pivotFmt>
      <c:pivotFmt>
        <c:idx val="15"/>
        <c:spPr>
          <a:solidFill>
            <a:srgbClr val="7DB17A"/>
          </a:solidFill>
          <a:ln>
            <a:noFill/>
          </a:ln>
          <a:effectLst>
            <a:softEdge rad="50800"/>
          </a:effectLst>
          <a:scene3d>
            <a:camera prst="orthographicFront"/>
            <a:lightRig rig="threePt" dir="t"/>
          </a:scene3d>
          <a:sp3d>
            <a:bevelT/>
          </a:sp3d>
        </c:spPr>
      </c:pivotFmt>
      <c:pivotFmt>
        <c:idx val="16"/>
        <c:spPr>
          <a:solidFill>
            <a:srgbClr val="7DB17A"/>
          </a:solidFill>
          <a:ln>
            <a:noFill/>
          </a:ln>
          <a:effectLst>
            <a:outerShdw blurRad="50800" dist="38100" dir="2700000" algn="tl" rotWithShape="0">
              <a:prstClr val="black">
                <a:alpha val="40000"/>
              </a:prstClr>
            </a:outerShdw>
          </a:effectLst>
          <a:scene3d>
            <a:camera prst="orthographicFront"/>
            <a:lightRig rig="threePt" dir="t"/>
          </a:scene3d>
          <a:sp3d>
            <a:bevelT h="19050"/>
          </a:sp3d>
        </c:spPr>
        <c:marker>
          <c:symbol val="none"/>
        </c:marker>
        <c:dLbl>
          <c:idx val="0"/>
          <c:spPr>
            <a:noFill/>
            <a:ln>
              <a:noFill/>
            </a:ln>
            <a:effectLst/>
          </c:spPr>
          <c:txPr>
            <a:bodyPr rot="0" spcFirstLastPara="1" vertOverflow="overflow" horzOverflow="overflow" vert="horz" wrap="square" lIns="38100" tIns="19050" rIns="38100" bIns="19050" anchor="t" anchorCtr="1">
              <a:spAutoFit/>
            </a:bodyPr>
            <a:lstStyle/>
            <a:p>
              <a:pPr>
                <a:defRPr sz="1400" b="1" i="0" u="none" strike="noStrike" kern="1200" baseline="0">
                  <a:ln>
                    <a:noFill/>
                  </a:ln>
                  <a:solidFill>
                    <a:schemeClr val="tx1">
                      <a:lumMod val="75000"/>
                      <a:lumOff val="25000"/>
                    </a:schemeClr>
                  </a:solidFill>
                  <a:latin typeface="+mn-lt"/>
                  <a:ea typeface="+mn-ea"/>
                  <a:cs typeface="+mn-cs"/>
                </a:defRPr>
              </a:pPr>
              <a:endParaRPr lang="en-US"/>
            </a:p>
          </c:txPr>
          <c:dLblPos val="inEnd"/>
          <c:showLegendKey val="0"/>
          <c:showVal val="0"/>
          <c:showCatName val="0"/>
          <c:showSerName val="1"/>
          <c:showPercent val="0"/>
          <c:showBubbleSize val="0"/>
          <c:extLst>
            <c:ext xmlns:c15="http://schemas.microsoft.com/office/drawing/2012/chart" uri="{CE6537A1-D6FC-4f65-9D91-7224C49458BB}"/>
          </c:extLst>
        </c:dLbl>
      </c:pivotFmt>
      <c:pivotFmt>
        <c:idx val="17"/>
        <c:spPr>
          <a:solidFill>
            <a:srgbClr val="C1FFC1"/>
          </a:solidFill>
          <a:ln>
            <a:noFill/>
          </a:ln>
          <a:effectLst>
            <a:outerShdw blurRad="50800" dist="38100" dir="2700000" algn="tl" rotWithShape="0">
              <a:prstClr val="black">
                <a:alpha val="40000"/>
              </a:prstClr>
            </a:outerShdw>
          </a:effectLst>
          <a:scene3d>
            <a:camera prst="orthographicFront"/>
            <a:lightRig rig="threePt" dir="t"/>
          </a:scene3d>
          <a:sp3d>
            <a:bevelT h="1905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mn-lt"/>
                  <a:ea typeface="+mn-ea"/>
                  <a:cs typeface="+mn-cs"/>
                </a:defRPr>
              </a:pPr>
              <a:endParaRPr lang="en-US"/>
            </a:p>
          </c:txPr>
          <c:dLblPos val="inEnd"/>
          <c:showLegendKey val="0"/>
          <c:showVal val="0"/>
          <c:showCatName val="0"/>
          <c:showSerName val="1"/>
          <c:showPercent val="0"/>
          <c:showBubbleSize val="0"/>
          <c:extLst>
            <c:ext xmlns:c15="http://schemas.microsoft.com/office/drawing/2012/chart" uri="{CE6537A1-D6FC-4f65-9D91-7224C49458BB}"/>
          </c:extLst>
        </c:dLbl>
      </c:pivotFmt>
      <c:pivotFmt>
        <c:idx val="18"/>
        <c:spPr>
          <a:solidFill>
            <a:srgbClr val="FFFF66"/>
          </a:solidFill>
          <a:ln>
            <a:noFill/>
          </a:ln>
          <a:effectLst>
            <a:outerShdw blurRad="50800" dist="38100" dir="2700000" algn="tl" rotWithShape="0">
              <a:prstClr val="black">
                <a:alpha val="40000"/>
              </a:prstClr>
            </a:outerShdw>
          </a:effectLst>
          <a:scene3d>
            <a:camera prst="orthographicFront"/>
            <a:lightRig rig="threePt" dir="t"/>
          </a:scene3d>
          <a:sp3d>
            <a:bevelT h="1905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mn-lt"/>
                  <a:ea typeface="+mn-ea"/>
                  <a:cs typeface="+mn-cs"/>
                </a:defRPr>
              </a:pPr>
              <a:endParaRPr lang="en-US"/>
            </a:p>
          </c:txPr>
          <c:dLblPos val="inEnd"/>
          <c:showLegendKey val="0"/>
          <c:showVal val="0"/>
          <c:showCatName val="0"/>
          <c:showSerName val="1"/>
          <c:showPercent val="0"/>
          <c:showBubbleSize val="0"/>
          <c:extLst>
            <c:ext xmlns:c15="http://schemas.microsoft.com/office/drawing/2012/chart" uri="{CE6537A1-D6FC-4f65-9D91-7224C49458BB}"/>
          </c:extLst>
        </c:dLbl>
      </c:pivotFmt>
      <c:pivotFmt>
        <c:idx val="19"/>
        <c:spPr>
          <a:solidFill>
            <a:srgbClr val="FFC267"/>
          </a:solidFill>
          <a:ln>
            <a:noFill/>
          </a:ln>
          <a:effectLst>
            <a:outerShdw blurRad="50800" dist="38100" dir="2700000" algn="tl" rotWithShape="0">
              <a:prstClr val="black">
                <a:alpha val="40000"/>
              </a:prstClr>
            </a:outerShdw>
          </a:effectLst>
          <a:scene3d>
            <a:camera prst="orthographicFront"/>
            <a:lightRig rig="threePt" dir="t"/>
          </a:scene3d>
          <a:sp3d>
            <a:bevelT h="1905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mn-lt"/>
                  <a:ea typeface="+mn-ea"/>
                  <a:cs typeface="+mn-cs"/>
                </a:defRPr>
              </a:pPr>
              <a:endParaRPr lang="en-US"/>
            </a:p>
          </c:txPr>
          <c:dLblPos val="inEnd"/>
          <c:showLegendKey val="0"/>
          <c:showVal val="0"/>
          <c:showCatName val="0"/>
          <c:showSerName val="1"/>
          <c:showPercent val="0"/>
          <c:showBubbleSize val="0"/>
          <c:extLst>
            <c:ext xmlns:c15="http://schemas.microsoft.com/office/drawing/2012/chart" uri="{CE6537A1-D6FC-4f65-9D91-7224C49458BB}"/>
          </c:extLst>
        </c:dLbl>
      </c:pivotFmt>
      <c:pivotFmt>
        <c:idx val="20"/>
        <c:spPr>
          <a:solidFill>
            <a:srgbClr val="FF7D67"/>
          </a:solidFill>
          <a:ln>
            <a:noFill/>
          </a:ln>
          <a:effectLst>
            <a:outerShdw blurRad="50800" dist="38100" dir="2700000" algn="tl" rotWithShape="0">
              <a:prstClr val="black">
                <a:alpha val="40000"/>
              </a:prstClr>
            </a:outerShdw>
          </a:effectLst>
          <a:scene3d>
            <a:camera prst="orthographicFront"/>
            <a:lightRig rig="threePt" dir="t"/>
          </a:scene3d>
          <a:sp3d>
            <a:bevelT h="1905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mn-lt"/>
                  <a:ea typeface="+mn-ea"/>
                  <a:cs typeface="+mn-cs"/>
                </a:defRPr>
              </a:pPr>
              <a:endParaRPr lang="en-US"/>
            </a:p>
          </c:txPr>
          <c:dLblPos val="inEnd"/>
          <c:showLegendKey val="0"/>
          <c:showVal val="0"/>
          <c:showCatName val="0"/>
          <c:showSerName val="1"/>
          <c:showPercent val="0"/>
          <c:showBubbleSize val="0"/>
          <c:extLst>
            <c:ext xmlns:c15="http://schemas.microsoft.com/office/drawing/2012/chart" uri="{CE6537A1-D6FC-4f65-9D91-7224C49458BB}"/>
          </c:extLst>
        </c:dLbl>
      </c:pivotFmt>
      <c:pivotFmt>
        <c:idx val="21"/>
        <c:spPr>
          <a:solidFill>
            <a:srgbClr val="7DB17A"/>
          </a:solidFill>
          <a:ln>
            <a:noFill/>
          </a:ln>
          <a:effectLst>
            <a:outerShdw blurRad="50800" dist="38100" dir="2700000" algn="tl" rotWithShape="0">
              <a:prstClr val="black">
                <a:alpha val="40000"/>
              </a:prstClr>
            </a:outerShdw>
          </a:effectLst>
          <a:scene3d>
            <a:camera prst="orthographicFront"/>
            <a:lightRig rig="threePt" dir="t"/>
          </a:scene3d>
          <a:sp3d>
            <a:bevelT h="19050"/>
          </a:sp3d>
        </c:spPr>
        <c:marker>
          <c:symbol val="none"/>
        </c:marker>
        <c:dLbl>
          <c:idx val="0"/>
          <c:spPr>
            <a:noFill/>
            <a:ln>
              <a:noFill/>
            </a:ln>
            <a:effectLst/>
          </c:spPr>
          <c:txPr>
            <a:bodyPr rot="0" spcFirstLastPara="1" vertOverflow="overflow" horzOverflow="overflow" vert="horz" wrap="square" lIns="38100" tIns="19050" rIns="38100" bIns="19050" anchor="t" anchorCtr="1">
              <a:spAutoFit/>
            </a:bodyPr>
            <a:lstStyle/>
            <a:p>
              <a:pPr>
                <a:defRPr sz="1400" b="1" i="0" u="none" strike="noStrike" kern="1200" baseline="0">
                  <a:ln>
                    <a:noFill/>
                  </a:ln>
                  <a:solidFill>
                    <a:schemeClr val="tx1">
                      <a:lumMod val="75000"/>
                      <a:lumOff val="25000"/>
                    </a:schemeClr>
                  </a:solidFill>
                  <a:latin typeface="+mn-lt"/>
                  <a:ea typeface="+mn-ea"/>
                  <a:cs typeface="+mn-cs"/>
                </a:defRPr>
              </a:pPr>
              <a:endParaRPr lang="en-US"/>
            </a:p>
          </c:txPr>
          <c:dLblPos val="inEnd"/>
          <c:showLegendKey val="0"/>
          <c:showVal val="0"/>
          <c:showCatName val="0"/>
          <c:showSerName val="1"/>
          <c:showPercent val="0"/>
          <c:showBubbleSize val="0"/>
          <c:extLst>
            <c:ext xmlns:c15="http://schemas.microsoft.com/office/drawing/2012/chart" uri="{CE6537A1-D6FC-4f65-9D91-7224C49458BB}"/>
          </c:extLst>
        </c:dLbl>
      </c:pivotFmt>
      <c:pivotFmt>
        <c:idx val="22"/>
        <c:spPr>
          <a:solidFill>
            <a:srgbClr val="C1FFC1"/>
          </a:solidFill>
          <a:ln>
            <a:noFill/>
          </a:ln>
          <a:effectLst>
            <a:outerShdw blurRad="50800" dist="38100" dir="2700000" algn="tl" rotWithShape="0">
              <a:prstClr val="black">
                <a:alpha val="40000"/>
              </a:prstClr>
            </a:outerShdw>
          </a:effectLst>
          <a:scene3d>
            <a:camera prst="orthographicFront"/>
            <a:lightRig rig="threePt" dir="t"/>
          </a:scene3d>
          <a:sp3d>
            <a:bevelT h="1905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mn-lt"/>
                  <a:ea typeface="+mn-ea"/>
                  <a:cs typeface="+mn-cs"/>
                </a:defRPr>
              </a:pPr>
              <a:endParaRPr lang="en-US"/>
            </a:p>
          </c:txPr>
          <c:dLblPos val="inEnd"/>
          <c:showLegendKey val="0"/>
          <c:showVal val="0"/>
          <c:showCatName val="0"/>
          <c:showSerName val="1"/>
          <c:showPercent val="0"/>
          <c:showBubbleSize val="0"/>
          <c:extLst>
            <c:ext xmlns:c15="http://schemas.microsoft.com/office/drawing/2012/chart" uri="{CE6537A1-D6FC-4f65-9D91-7224C49458BB}"/>
          </c:extLst>
        </c:dLbl>
      </c:pivotFmt>
      <c:pivotFmt>
        <c:idx val="23"/>
        <c:spPr>
          <a:solidFill>
            <a:srgbClr val="FFFF66"/>
          </a:solidFill>
          <a:ln>
            <a:noFill/>
          </a:ln>
          <a:effectLst>
            <a:outerShdw blurRad="50800" dist="38100" dir="2700000" algn="tl" rotWithShape="0">
              <a:prstClr val="black">
                <a:alpha val="40000"/>
              </a:prstClr>
            </a:outerShdw>
          </a:effectLst>
          <a:scene3d>
            <a:camera prst="orthographicFront"/>
            <a:lightRig rig="threePt" dir="t"/>
          </a:scene3d>
          <a:sp3d>
            <a:bevelT h="1905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mn-lt"/>
                  <a:ea typeface="+mn-ea"/>
                  <a:cs typeface="+mn-cs"/>
                </a:defRPr>
              </a:pPr>
              <a:endParaRPr lang="en-US"/>
            </a:p>
          </c:txPr>
          <c:dLblPos val="inEnd"/>
          <c:showLegendKey val="0"/>
          <c:showVal val="0"/>
          <c:showCatName val="0"/>
          <c:showSerName val="1"/>
          <c:showPercent val="0"/>
          <c:showBubbleSize val="0"/>
          <c:extLst>
            <c:ext xmlns:c15="http://schemas.microsoft.com/office/drawing/2012/chart" uri="{CE6537A1-D6FC-4f65-9D91-7224C49458BB}"/>
          </c:extLst>
        </c:dLbl>
      </c:pivotFmt>
      <c:pivotFmt>
        <c:idx val="24"/>
        <c:spPr>
          <a:solidFill>
            <a:srgbClr val="FFC267"/>
          </a:solidFill>
          <a:ln>
            <a:noFill/>
          </a:ln>
          <a:effectLst>
            <a:outerShdw blurRad="50800" dist="38100" dir="2700000" algn="tl" rotWithShape="0">
              <a:prstClr val="black">
                <a:alpha val="40000"/>
              </a:prstClr>
            </a:outerShdw>
          </a:effectLst>
          <a:scene3d>
            <a:camera prst="orthographicFront"/>
            <a:lightRig rig="threePt" dir="t"/>
          </a:scene3d>
          <a:sp3d>
            <a:bevelT h="1905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mn-lt"/>
                  <a:ea typeface="+mn-ea"/>
                  <a:cs typeface="+mn-cs"/>
                </a:defRPr>
              </a:pPr>
              <a:endParaRPr lang="en-US"/>
            </a:p>
          </c:txPr>
          <c:dLblPos val="inEnd"/>
          <c:showLegendKey val="0"/>
          <c:showVal val="0"/>
          <c:showCatName val="0"/>
          <c:showSerName val="1"/>
          <c:showPercent val="0"/>
          <c:showBubbleSize val="0"/>
          <c:extLst>
            <c:ext xmlns:c15="http://schemas.microsoft.com/office/drawing/2012/chart" uri="{CE6537A1-D6FC-4f65-9D91-7224C49458BB}"/>
          </c:extLst>
        </c:dLbl>
      </c:pivotFmt>
      <c:pivotFmt>
        <c:idx val="25"/>
        <c:spPr>
          <a:solidFill>
            <a:srgbClr val="FF7D67"/>
          </a:solidFill>
          <a:ln>
            <a:noFill/>
          </a:ln>
          <a:effectLst>
            <a:outerShdw blurRad="50800" dist="38100" dir="2700000" algn="tl" rotWithShape="0">
              <a:prstClr val="black">
                <a:alpha val="40000"/>
              </a:prstClr>
            </a:outerShdw>
          </a:effectLst>
          <a:scene3d>
            <a:camera prst="orthographicFront"/>
            <a:lightRig rig="threePt" dir="t"/>
          </a:scene3d>
          <a:sp3d>
            <a:bevelT h="1905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mn-lt"/>
                  <a:ea typeface="+mn-ea"/>
                  <a:cs typeface="+mn-cs"/>
                </a:defRPr>
              </a:pPr>
              <a:endParaRPr lang="en-US"/>
            </a:p>
          </c:txPr>
          <c:dLblPos val="inEnd"/>
          <c:showLegendKey val="0"/>
          <c:showVal val="0"/>
          <c:showCatName val="0"/>
          <c:showSerName val="1"/>
          <c:showPercent val="0"/>
          <c:showBubbleSize val="0"/>
          <c:extLst>
            <c:ext xmlns:c15="http://schemas.microsoft.com/office/drawing/2012/chart" uri="{CE6537A1-D6FC-4f65-9D91-7224C49458BB}"/>
          </c:extLst>
        </c:dLbl>
      </c:pivotFmt>
      <c:pivotFmt>
        <c:idx val="26"/>
        <c:spPr>
          <a:solidFill>
            <a:srgbClr val="7DB17A"/>
          </a:solidFill>
          <a:ln>
            <a:noFill/>
          </a:ln>
          <a:effectLst>
            <a:outerShdw blurRad="50800" dist="38100" dir="2700000" algn="tl" rotWithShape="0">
              <a:prstClr val="black">
                <a:alpha val="40000"/>
              </a:prstClr>
            </a:outerShdw>
          </a:effectLst>
          <a:scene3d>
            <a:camera prst="orthographicFront"/>
            <a:lightRig rig="threePt" dir="t"/>
          </a:scene3d>
          <a:sp3d>
            <a:bevelT h="19050"/>
          </a:sp3d>
        </c:spPr>
        <c:marker>
          <c:symbol val="none"/>
        </c:marker>
        <c:dLbl>
          <c:idx val="0"/>
          <c:spPr>
            <a:noFill/>
            <a:ln>
              <a:noFill/>
            </a:ln>
            <a:effectLst/>
          </c:spPr>
          <c:txPr>
            <a:bodyPr rot="0" spcFirstLastPara="1" vertOverflow="overflow" horzOverflow="overflow" vert="horz" wrap="square" lIns="38100" tIns="19050" rIns="38100" bIns="19050" anchor="t" anchorCtr="1">
              <a:spAutoFit/>
            </a:bodyPr>
            <a:lstStyle/>
            <a:p>
              <a:pPr>
                <a:defRPr sz="1400" b="1" i="0" u="none" strike="noStrike" kern="1200" baseline="0">
                  <a:ln>
                    <a:noFill/>
                  </a:ln>
                  <a:solidFill>
                    <a:schemeClr val="tx1">
                      <a:lumMod val="75000"/>
                      <a:lumOff val="25000"/>
                    </a:schemeClr>
                  </a:solidFill>
                  <a:latin typeface="+mn-lt"/>
                  <a:ea typeface="+mn-ea"/>
                  <a:cs typeface="+mn-cs"/>
                </a:defRPr>
              </a:pPr>
              <a:endParaRPr lang="en-US"/>
            </a:p>
          </c:txPr>
          <c:dLblPos val="inEnd"/>
          <c:showLegendKey val="0"/>
          <c:showVal val="0"/>
          <c:showCatName val="0"/>
          <c:showSerName val="1"/>
          <c:showPercent val="0"/>
          <c:showBubbleSize val="0"/>
          <c:extLst>
            <c:ext xmlns:c15="http://schemas.microsoft.com/office/drawing/2012/chart" uri="{CE6537A1-D6FC-4f65-9D91-7224C49458BB}"/>
          </c:extLst>
        </c:dLbl>
      </c:pivotFmt>
      <c:pivotFmt>
        <c:idx val="27"/>
        <c:spPr>
          <a:solidFill>
            <a:srgbClr val="C1FFC1"/>
          </a:solidFill>
          <a:ln>
            <a:noFill/>
          </a:ln>
          <a:effectLst>
            <a:outerShdw blurRad="50800" dist="38100" dir="2700000" algn="tl" rotWithShape="0">
              <a:prstClr val="black">
                <a:alpha val="40000"/>
              </a:prstClr>
            </a:outerShdw>
          </a:effectLst>
          <a:scene3d>
            <a:camera prst="orthographicFront"/>
            <a:lightRig rig="threePt" dir="t"/>
          </a:scene3d>
          <a:sp3d>
            <a:bevelT h="1905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mn-lt"/>
                  <a:ea typeface="+mn-ea"/>
                  <a:cs typeface="+mn-cs"/>
                </a:defRPr>
              </a:pPr>
              <a:endParaRPr lang="en-US"/>
            </a:p>
          </c:txPr>
          <c:dLblPos val="inEnd"/>
          <c:showLegendKey val="0"/>
          <c:showVal val="0"/>
          <c:showCatName val="0"/>
          <c:showSerName val="1"/>
          <c:showPercent val="0"/>
          <c:showBubbleSize val="0"/>
          <c:extLst>
            <c:ext xmlns:c15="http://schemas.microsoft.com/office/drawing/2012/chart" uri="{CE6537A1-D6FC-4f65-9D91-7224C49458BB}"/>
          </c:extLst>
        </c:dLbl>
      </c:pivotFmt>
      <c:pivotFmt>
        <c:idx val="28"/>
        <c:spPr>
          <a:solidFill>
            <a:srgbClr val="FFFF66"/>
          </a:solidFill>
          <a:ln>
            <a:noFill/>
          </a:ln>
          <a:effectLst>
            <a:outerShdw blurRad="50800" dist="38100" dir="2700000" algn="tl" rotWithShape="0">
              <a:prstClr val="black">
                <a:alpha val="40000"/>
              </a:prstClr>
            </a:outerShdw>
          </a:effectLst>
          <a:scene3d>
            <a:camera prst="orthographicFront"/>
            <a:lightRig rig="threePt" dir="t"/>
          </a:scene3d>
          <a:sp3d>
            <a:bevelT h="1905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mn-lt"/>
                  <a:ea typeface="+mn-ea"/>
                  <a:cs typeface="+mn-cs"/>
                </a:defRPr>
              </a:pPr>
              <a:endParaRPr lang="en-US"/>
            </a:p>
          </c:txPr>
          <c:dLblPos val="inEnd"/>
          <c:showLegendKey val="0"/>
          <c:showVal val="0"/>
          <c:showCatName val="0"/>
          <c:showSerName val="1"/>
          <c:showPercent val="0"/>
          <c:showBubbleSize val="0"/>
          <c:extLst>
            <c:ext xmlns:c15="http://schemas.microsoft.com/office/drawing/2012/chart" uri="{CE6537A1-D6FC-4f65-9D91-7224C49458BB}"/>
          </c:extLst>
        </c:dLbl>
      </c:pivotFmt>
      <c:pivotFmt>
        <c:idx val="29"/>
        <c:spPr>
          <a:solidFill>
            <a:srgbClr val="FFC267"/>
          </a:solidFill>
          <a:ln>
            <a:noFill/>
          </a:ln>
          <a:effectLst>
            <a:outerShdw blurRad="50800" dist="38100" dir="2700000" algn="tl" rotWithShape="0">
              <a:prstClr val="black">
                <a:alpha val="40000"/>
              </a:prstClr>
            </a:outerShdw>
          </a:effectLst>
          <a:scene3d>
            <a:camera prst="orthographicFront"/>
            <a:lightRig rig="threePt" dir="t"/>
          </a:scene3d>
          <a:sp3d>
            <a:bevelT h="1905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mn-lt"/>
                  <a:ea typeface="+mn-ea"/>
                  <a:cs typeface="+mn-cs"/>
                </a:defRPr>
              </a:pPr>
              <a:endParaRPr lang="en-US"/>
            </a:p>
          </c:txPr>
          <c:dLblPos val="inEnd"/>
          <c:showLegendKey val="0"/>
          <c:showVal val="0"/>
          <c:showCatName val="0"/>
          <c:showSerName val="1"/>
          <c:showPercent val="0"/>
          <c:showBubbleSize val="0"/>
          <c:extLst>
            <c:ext xmlns:c15="http://schemas.microsoft.com/office/drawing/2012/chart" uri="{CE6537A1-D6FC-4f65-9D91-7224C49458BB}"/>
          </c:extLst>
        </c:dLbl>
      </c:pivotFmt>
      <c:pivotFmt>
        <c:idx val="30"/>
        <c:spPr>
          <a:solidFill>
            <a:srgbClr val="FF7D67"/>
          </a:solidFill>
          <a:ln>
            <a:noFill/>
          </a:ln>
          <a:effectLst>
            <a:outerShdw blurRad="50800" dist="38100" dir="2700000" algn="tl" rotWithShape="0">
              <a:prstClr val="black">
                <a:alpha val="40000"/>
              </a:prstClr>
            </a:outerShdw>
          </a:effectLst>
          <a:scene3d>
            <a:camera prst="orthographicFront"/>
            <a:lightRig rig="threePt" dir="t"/>
          </a:scene3d>
          <a:sp3d>
            <a:bevelT h="1905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mn-lt"/>
                  <a:ea typeface="+mn-ea"/>
                  <a:cs typeface="+mn-cs"/>
                </a:defRPr>
              </a:pPr>
              <a:endParaRPr lang="en-US"/>
            </a:p>
          </c:txPr>
          <c:dLblPos val="inEnd"/>
          <c:showLegendKey val="0"/>
          <c:showVal val="0"/>
          <c:showCatName val="0"/>
          <c:showSerName val="1"/>
          <c:showPercent val="0"/>
          <c:showBubbleSize val="0"/>
          <c:extLst>
            <c:ext xmlns:c15="http://schemas.microsoft.com/office/drawing/2012/chart" uri="{CE6537A1-D6FC-4f65-9D91-7224C49458BB}"/>
          </c:extLst>
        </c:dLbl>
      </c:pivotFmt>
    </c:pivotFmts>
    <c:plotArea>
      <c:layout>
        <c:manualLayout>
          <c:layoutTarget val="inner"/>
          <c:xMode val="edge"/>
          <c:yMode val="edge"/>
          <c:x val="0.11914782982022498"/>
          <c:y val="8.6854148742479709E-2"/>
          <c:w val="0.81279307743288121"/>
          <c:h val="0.81379108263007549"/>
        </c:manualLayout>
      </c:layout>
      <c:barChart>
        <c:barDir val="col"/>
        <c:grouping val="percentStacked"/>
        <c:varyColors val="0"/>
        <c:ser>
          <c:idx val="0"/>
          <c:order val="0"/>
          <c:spPr>
            <a:solidFill>
              <a:srgbClr val="7DB17A"/>
            </a:solidFill>
            <a:ln>
              <a:noFill/>
            </a:ln>
            <a:effectLst>
              <a:outerShdw blurRad="50800" dist="38100" dir="2700000" algn="tl" rotWithShape="0">
                <a:prstClr val="black">
                  <a:alpha val="40000"/>
                </a:prstClr>
              </a:outerShdw>
            </a:effectLst>
            <a:scene3d>
              <a:camera prst="orthographicFront"/>
              <a:lightRig rig="threePt" dir="t"/>
            </a:scene3d>
            <a:sp3d>
              <a:bevelT h="19050"/>
            </a:sp3d>
          </c:spPr>
          <c:invertIfNegative val="0"/>
          <c:dLbls>
            <c:dLbl>
              <c:idx val="0"/>
              <c:tx>
                <c:rich>
                  <a:bodyPr/>
                  <a:lstStyle/>
                  <a:p>
                    <a:r>
                      <a:rPr lang="en-US"/>
                      <a:t>A</a:t>
                    </a:r>
                  </a:p>
                </c:rich>
              </c:tx>
              <c:dLblPos val="inEnd"/>
              <c:showLegendKey val="0"/>
              <c:showVal val="0"/>
              <c:showCatName val="0"/>
              <c:showSerName val="1"/>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0-72F3-4F7C-BA7A-4E2DC0D0B0B9}"/>
                </c:ext>
              </c:extLst>
            </c:dLbl>
            <c:dLbl>
              <c:idx val="1"/>
              <c:tx>
                <c:rich>
                  <a:bodyPr/>
                  <a:lstStyle/>
                  <a:p>
                    <a:r>
                      <a:rPr lang="en-US"/>
                      <a:t>A</a:t>
                    </a:r>
                  </a:p>
                </c:rich>
              </c:tx>
              <c:dLblPos val="inEnd"/>
              <c:showLegendKey val="0"/>
              <c:showVal val="0"/>
              <c:showCatName val="0"/>
              <c:showSerName val="1"/>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4-72F3-4F7C-BA7A-4E2DC0D0B0B9}"/>
                </c:ext>
              </c:extLst>
            </c:dLbl>
            <c:spPr>
              <a:noFill/>
              <a:ln>
                <a:noFill/>
              </a:ln>
              <a:effectLst/>
            </c:spPr>
            <c:txPr>
              <a:bodyPr rot="0" spcFirstLastPara="1" vertOverflow="overflow" horzOverflow="overflow" vert="horz" wrap="square" lIns="38100" tIns="19050" rIns="38100" bIns="19050" anchor="t" anchorCtr="1">
                <a:spAutoFit/>
              </a:bodyPr>
              <a:lstStyle/>
              <a:p>
                <a:pPr>
                  <a:defRPr sz="1400" b="1" i="0" u="none" strike="noStrike" kern="1200" baseline="0">
                    <a:ln>
                      <a:noFill/>
                    </a:ln>
                    <a:solidFill>
                      <a:schemeClr val="tx1">
                        <a:lumMod val="75000"/>
                        <a:lumOff val="25000"/>
                      </a:schemeClr>
                    </a:solidFill>
                    <a:latin typeface="+mn-lt"/>
                    <a:ea typeface="+mn-ea"/>
                    <a:cs typeface="+mn-cs"/>
                  </a:defRPr>
                </a:pPr>
                <a:endParaRPr lang="en-US"/>
              </a:p>
            </c:txPr>
            <c:dLblPos val="inEnd"/>
            <c:showLegendKey val="0"/>
            <c:showVal val="0"/>
            <c:showCatName val="0"/>
            <c:showSerName val="1"/>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'October calculations'!$B$410:$C$410</c:f>
              <c:numCache>
                <c:formatCode>[$£-809]#,##0.00;[Red]\-[$£-809]#,##0.00</c:formatCode>
                <c:ptCount val="2"/>
                <c:pt idx="0" formatCode="0%">
                  <c:v>0.18181818181818182</c:v>
                </c:pt>
                <c:pt idx="1">
                  <c:v>11</c:v>
                </c:pt>
              </c:numCache>
            </c:numRef>
          </c:val>
          <c:extLst>
            <c:ext xmlns:c15="http://schemas.microsoft.com/office/drawing/2012/chart" uri="{02D57815-91ED-43cb-92C2-25804820EDAC}">
              <c15:filteredSeriesTitle>
                <c15:tx>
                  <c:strRef>
                    <c:extLst>
                      <c:ext uri="{02D57815-91ED-43cb-92C2-25804820EDAC}">
                        <c15:formulaRef>
                          <c15:sqref>'October calculations'!$A$410</c15:sqref>
                        </c15:formulaRef>
                      </c:ext>
                    </c:extLst>
                    <c:strCache>
                      <c:ptCount val="1"/>
                      <c:pt idx="0">
                        <c:v>A</c:v>
                      </c:pt>
                    </c:strCache>
                  </c:strRef>
                </c15:tx>
              </c15:filteredSeriesTitle>
            </c:ext>
            <c:ext xmlns:c15="http://schemas.microsoft.com/office/drawing/2012/chart" uri="{02D57815-91ED-43cb-92C2-25804820EDAC}">
              <c15:filteredCategoryTitle>
                <c15:cat>
                  <c:strRef>
                    <c:extLst>
                      <c:ext uri="{02D57815-91ED-43cb-92C2-25804820EDAC}">
                        <c15:formulaRef>
                          <c15:sqref>'October calculations'!$B$409:$C$409</c15:sqref>
                        </c15:formulaRef>
                      </c:ext>
                    </c:extLst>
                    <c:strCache>
                      <c:ptCount val="2"/>
                      <c:pt idx="0">
                        <c:v>Apr 2017</c:v>
                      </c:pt>
                      <c:pt idx="1">
                        <c:v>Nov 2017</c:v>
                      </c:pt>
                    </c:strCache>
                  </c:strRef>
                </c15:cat>
              </c15:filteredCategoryTitle>
            </c:ext>
            <c:ext xmlns:c16="http://schemas.microsoft.com/office/drawing/2014/chart" uri="{C3380CC4-5D6E-409C-BE32-E72D297353CC}">
              <c16:uniqueId val="{00000000-2D53-4897-AC8C-D5715DA8DE75}"/>
            </c:ext>
          </c:extLst>
        </c:ser>
        <c:ser>
          <c:idx val="1"/>
          <c:order val="1"/>
          <c:spPr>
            <a:solidFill>
              <a:srgbClr val="C1FFC1"/>
            </a:solidFill>
            <a:ln>
              <a:noFill/>
            </a:ln>
            <a:effectLst>
              <a:outerShdw blurRad="50800" dist="38100" dir="2700000" algn="tl" rotWithShape="0">
                <a:prstClr val="black">
                  <a:alpha val="40000"/>
                </a:prstClr>
              </a:outerShdw>
            </a:effectLst>
            <a:scene3d>
              <a:camera prst="orthographicFront"/>
              <a:lightRig rig="threePt" dir="t"/>
            </a:scene3d>
            <a:sp3d>
              <a:bevelT h="19050"/>
            </a:sp3d>
          </c:spPr>
          <c:invertIfNegative val="0"/>
          <c:dLbls>
            <c:dLbl>
              <c:idx val="0"/>
              <c:layout>
                <c:manualLayout>
                  <c:x val="-1.3234074302553864E-2"/>
                  <c:y val="-5.7728127182750204E-4"/>
                </c:manualLayout>
              </c:layout>
              <c:tx>
                <c:rich>
                  <a:bodyPr/>
                  <a:lstStyle/>
                  <a:p>
                    <a:r>
                      <a:rPr lang="en-US"/>
                      <a:t>B</a:t>
                    </a:r>
                  </a:p>
                </c:rich>
              </c:tx>
              <c:dLblPos val="ctr"/>
              <c:showLegendKey val="0"/>
              <c:showVal val="0"/>
              <c:showCatName val="0"/>
              <c:showSerName val="1"/>
              <c:showPercent val="0"/>
              <c:showBubbleSize val="0"/>
              <c:separator>
</c:separator>
              <c:extLst>
                <c:ext xmlns:c15="http://schemas.microsoft.com/office/drawing/2012/chart" uri="{CE6537A1-D6FC-4f65-9D91-7224C49458BB}">
                  <c15:layout>
                    <c:manualLayout>
                      <c:w val="0.23947057450471215"/>
                      <c:h val="0.13462324266634995"/>
                    </c:manualLayout>
                  </c15:layout>
                </c:ext>
                <c:ext xmlns:c16="http://schemas.microsoft.com/office/drawing/2014/chart" uri="{C3380CC4-5D6E-409C-BE32-E72D297353CC}">
                  <c16:uniqueId val="{00000001-2D53-4897-AC8C-D5715DA8DE75}"/>
                </c:ext>
              </c:extLst>
            </c:dLbl>
            <c:dLbl>
              <c:idx val="1"/>
              <c:tx>
                <c:rich>
                  <a:bodyPr/>
                  <a:lstStyle/>
                  <a:p>
                    <a:r>
                      <a:rPr lang="en-US"/>
                      <a:t>B</a:t>
                    </a:r>
                  </a:p>
                </c:rich>
              </c:tx>
              <c:dLblPos val="inEnd"/>
              <c:showLegendKey val="0"/>
              <c:showVal val="0"/>
              <c:showCatName val="0"/>
              <c:showSerName val="1"/>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5-72F3-4F7C-BA7A-4E2DC0D0B0B9}"/>
                </c:ext>
              </c:extLst>
            </c:dLbl>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mn-lt"/>
                    <a:ea typeface="+mn-ea"/>
                    <a:cs typeface="+mn-cs"/>
                  </a:defRPr>
                </a:pPr>
                <a:endParaRPr lang="en-US"/>
              </a:p>
            </c:txPr>
            <c:dLblPos val="inEnd"/>
            <c:showLegendKey val="0"/>
            <c:showVal val="0"/>
            <c:showCatName val="0"/>
            <c:showSerName val="1"/>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'October calculations'!$B$411:$C$411</c:f>
              <c:numCache>
                <c:formatCode>[$£-809]#,##0.00;[Red]\-[$£-809]#,##0.00</c:formatCode>
                <c:ptCount val="2"/>
                <c:pt idx="0" formatCode="0%">
                  <c:v>0.13636363636363635</c:v>
                </c:pt>
                <c:pt idx="1">
                  <c:v>5</c:v>
                </c:pt>
              </c:numCache>
            </c:numRef>
          </c:val>
          <c:extLst>
            <c:ext xmlns:c15="http://schemas.microsoft.com/office/drawing/2012/chart" uri="{02D57815-91ED-43cb-92C2-25804820EDAC}">
              <c15:filteredSeriesTitle>
                <c15:tx>
                  <c:strRef>
                    <c:extLst>
                      <c:ext uri="{02D57815-91ED-43cb-92C2-25804820EDAC}">
                        <c15:formulaRef>
                          <c15:sqref>'October calculations'!$A$411</c15:sqref>
                        </c15:formulaRef>
                      </c:ext>
                    </c:extLst>
                    <c:strCache>
                      <c:ptCount val="1"/>
                      <c:pt idx="0">
                        <c:v>B</c:v>
                      </c:pt>
                    </c:strCache>
                  </c:strRef>
                </c15:tx>
              </c15:filteredSeriesTitle>
            </c:ext>
            <c:ext xmlns:c15="http://schemas.microsoft.com/office/drawing/2012/chart" uri="{02D57815-91ED-43cb-92C2-25804820EDAC}">
              <c15:filteredCategoryTitle>
                <c15:cat>
                  <c:strRef>
                    <c:extLst>
                      <c:ext uri="{02D57815-91ED-43cb-92C2-25804820EDAC}">
                        <c15:formulaRef>
                          <c15:sqref>'October calculations'!$B$409:$C$409</c15:sqref>
                        </c15:formulaRef>
                      </c:ext>
                    </c:extLst>
                    <c:strCache>
                      <c:ptCount val="2"/>
                      <c:pt idx="0">
                        <c:v>Apr 2017</c:v>
                      </c:pt>
                      <c:pt idx="1">
                        <c:v>Nov 2017</c:v>
                      </c:pt>
                    </c:strCache>
                  </c:strRef>
                </c15:cat>
              </c15:filteredCategoryTitle>
            </c:ext>
            <c:ext xmlns:c16="http://schemas.microsoft.com/office/drawing/2014/chart" uri="{C3380CC4-5D6E-409C-BE32-E72D297353CC}">
              <c16:uniqueId val="{00000002-2D53-4897-AC8C-D5715DA8DE75}"/>
            </c:ext>
          </c:extLst>
        </c:ser>
        <c:ser>
          <c:idx val="2"/>
          <c:order val="2"/>
          <c:spPr>
            <a:solidFill>
              <a:srgbClr val="FFEB84"/>
            </a:solidFill>
            <a:ln>
              <a:noFill/>
            </a:ln>
            <a:effectLst>
              <a:outerShdw blurRad="50800" dist="38100" dir="2700000" algn="ctr" rotWithShape="0">
                <a:srgbClr val="000000">
                  <a:alpha val="40000"/>
                </a:srgbClr>
              </a:outerShdw>
            </a:effectLst>
            <a:scene3d>
              <a:camera prst="orthographicFront"/>
              <a:lightRig rig="threePt" dir="t"/>
            </a:scene3d>
            <a:sp3d>
              <a:bevelT h="19050"/>
            </a:sp3d>
          </c:spPr>
          <c:invertIfNegative val="0"/>
          <c:dLbls>
            <c:dLbl>
              <c:idx val="0"/>
              <c:tx>
                <c:rich>
                  <a:bodyPr/>
                  <a:lstStyle/>
                  <a:p>
                    <a:r>
                      <a:rPr lang="en-US"/>
                      <a:t>C</a:t>
                    </a:r>
                  </a:p>
                </c:rich>
              </c:tx>
              <c:showLegendKey val="0"/>
              <c:showVal val="0"/>
              <c:showCatName val="0"/>
              <c:showSerName val="1"/>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1-72F3-4F7C-BA7A-4E2DC0D0B0B9}"/>
                </c:ext>
              </c:extLst>
            </c:dLbl>
            <c:dLbl>
              <c:idx val="1"/>
              <c:tx>
                <c:rich>
                  <a:bodyPr/>
                  <a:lstStyle/>
                  <a:p>
                    <a:r>
                      <a:rPr lang="en-US"/>
                      <a:t>C</a:t>
                    </a:r>
                  </a:p>
                </c:rich>
              </c:tx>
              <c:showLegendKey val="0"/>
              <c:showVal val="0"/>
              <c:showCatName val="0"/>
              <c:showSerName val="1"/>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6-72F3-4F7C-BA7A-4E2DC0D0B0B9}"/>
                </c:ext>
              </c:extLst>
            </c:dLbl>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1"/>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'October calculations'!$B$412:$C$412</c:f>
              <c:numCache>
                <c:formatCode>[$£-809]#,##0.00;[Red]\-[$£-809]#,##0.00</c:formatCode>
                <c:ptCount val="2"/>
                <c:pt idx="0" formatCode="0%">
                  <c:v>0.27272727272727271</c:v>
                </c:pt>
                <c:pt idx="1">
                  <c:v>6</c:v>
                </c:pt>
              </c:numCache>
            </c:numRef>
          </c:val>
          <c:extLst>
            <c:ext xmlns:c15="http://schemas.microsoft.com/office/drawing/2012/chart" uri="{02D57815-91ED-43cb-92C2-25804820EDAC}">
              <c15:filteredSeriesTitle>
                <c15:tx>
                  <c:strRef>
                    <c:extLst>
                      <c:ext uri="{02D57815-91ED-43cb-92C2-25804820EDAC}">
                        <c15:formulaRef>
                          <c15:sqref>'October calculations'!$A$412</c15:sqref>
                        </c15:formulaRef>
                      </c:ext>
                    </c:extLst>
                    <c:strCache>
                      <c:ptCount val="1"/>
                      <c:pt idx="0">
                        <c:v>C</c:v>
                      </c:pt>
                    </c:strCache>
                  </c:strRef>
                </c15:tx>
              </c15:filteredSeriesTitle>
            </c:ext>
            <c:ext xmlns:c15="http://schemas.microsoft.com/office/drawing/2012/chart" uri="{02D57815-91ED-43cb-92C2-25804820EDAC}">
              <c15:filteredCategoryTitle>
                <c15:cat>
                  <c:strRef>
                    <c:extLst>
                      <c:ext uri="{02D57815-91ED-43cb-92C2-25804820EDAC}">
                        <c15:formulaRef>
                          <c15:sqref>'October calculations'!$B$409:$C$409</c15:sqref>
                        </c15:formulaRef>
                      </c:ext>
                    </c:extLst>
                    <c:strCache>
                      <c:ptCount val="2"/>
                      <c:pt idx="0">
                        <c:v>Apr 2017</c:v>
                      </c:pt>
                      <c:pt idx="1">
                        <c:v>Nov 2017</c:v>
                      </c:pt>
                    </c:strCache>
                  </c:strRef>
                </c15:cat>
              </c15:filteredCategoryTitle>
            </c:ext>
            <c:ext xmlns:c16="http://schemas.microsoft.com/office/drawing/2014/chart" uri="{C3380CC4-5D6E-409C-BE32-E72D297353CC}">
              <c16:uniqueId val="{00000003-2D53-4897-AC8C-D5715DA8DE75}"/>
            </c:ext>
          </c:extLst>
        </c:ser>
        <c:ser>
          <c:idx val="3"/>
          <c:order val="3"/>
          <c:spPr>
            <a:solidFill>
              <a:srgbClr val="FBAA77"/>
            </a:solidFill>
            <a:ln>
              <a:noFill/>
            </a:ln>
            <a:effectLst>
              <a:outerShdw blurRad="50800" dist="38100" dir="2700000" algn="ctr" rotWithShape="0">
                <a:srgbClr val="000000">
                  <a:alpha val="40000"/>
                </a:srgbClr>
              </a:outerShdw>
            </a:effectLst>
            <a:scene3d>
              <a:camera prst="orthographicFront"/>
              <a:lightRig rig="threePt" dir="t"/>
            </a:scene3d>
            <a:sp3d>
              <a:bevelT h="19050"/>
            </a:sp3d>
          </c:spPr>
          <c:invertIfNegative val="0"/>
          <c:dLbls>
            <c:dLbl>
              <c:idx val="0"/>
              <c:tx>
                <c:rich>
                  <a:bodyPr/>
                  <a:lstStyle/>
                  <a:p>
                    <a:r>
                      <a:rPr lang="en-US"/>
                      <a:t>D</a:t>
                    </a:r>
                  </a:p>
                </c:rich>
              </c:tx>
              <c:showLegendKey val="0"/>
              <c:showVal val="0"/>
              <c:showCatName val="0"/>
              <c:showSerName val="1"/>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2-72F3-4F7C-BA7A-4E2DC0D0B0B9}"/>
                </c:ext>
              </c:extLst>
            </c:dLbl>
            <c:dLbl>
              <c:idx val="1"/>
              <c:delete val="1"/>
              <c:extLst>
                <c:ext xmlns:c15="http://schemas.microsoft.com/office/drawing/2012/chart" uri="{CE6537A1-D6FC-4f65-9D91-7224C49458BB}"/>
                <c:ext xmlns:c16="http://schemas.microsoft.com/office/drawing/2014/chart" uri="{C3380CC4-5D6E-409C-BE32-E72D297353CC}">
                  <c16:uniqueId val="{00000004-2D53-4897-AC8C-D5715DA8DE75}"/>
                </c:ext>
              </c:extLst>
            </c:dLbl>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1"/>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'October calculations'!$B$413:$C$413</c:f>
              <c:numCache>
                <c:formatCode>[$£-809]#,##0.00;[Red]\-[$£-809]#,##0.00</c:formatCode>
                <c:ptCount val="2"/>
                <c:pt idx="0" formatCode="0%">
                  <c:v>0.18181818181818182</c:v>
                </c:pt>
                <c:pt idx="1">
                  <c:v>0</c:v>
                </c:pt>
              </c:numCache>
            </c:numRef>
          </c:val>
          <c:extLst>
            <c:ext xmlns:c15="http://schemas.microsoft.com/office/drawing/2012/chart" uri="{02D57815-91ED-43cb-92C2-25804820EDAC}">
              <c15:filteredSeriesTitle>
                <c15:tx>
                  <c:strRef>
                    <c:extLst>
                      <c:ext uri="{02D57815-91ED-43cb-92C2-25804820EDAC}">
                        <c15:formulaRef>
                          <c15:sqref>'October calculations'!$A$413</c15:sqref>
                        </c15:formulaRef>
                      </c:ext>
                    </c:extLst>
                    <c:strCache>
                      <c:ptCount val="1"/>
                      <c:pt idx="0">
                        <c:v>D</c:v>
                      </c:pt>
                    </c:strCache>
                  </c:strRef>
                </c15:tx>
              </c15:filteredSeriesTitle>
            </c:ext>
            <c:ext xmlns:c15="http://schemas.microsoft.com/office/drawing/2012/chart" uri="{02D57815-91ED-43cb-92C2-25804820EDAC}">
              <c15:filteredCategoryTitle>
                <c15:cat>
                  <c:strRef>
                    <c:extLst>
                      <c:ext uri="{02D57815-91ED-43cb-92C2-25804820EDAC}">
                        <c15:formulaRef>
                          <c15:sqref>'October calculations'!$B$409:$C$409</c15:sqref>
                        </c15:formulaRef>
                      </c:ext>
                    </c:extLst>
                    <c:strCache>
                      <c:ptCount val="2"/>
                      <c:pt idx="0">
                        <c:v>Apr 2017</c:v>
                      </c:pt>
                      <c:pt idx="1">
                        <c:v>Nov 2017</c:v>
                      </c:pt>
                    </c:strCache>
                  </c:strRef>
                </c15:cat>
              </c15:filteredCategoryTitle>
            </c:ext>
            <c:ext xmlns:c16="http://schemas.microsoft.com/office/drawing/2014/chart" uri="{C3380CC4-5D6E-409C-BE32-E72D297353CC}">
              <c16:uniqueId val="{00000005-2D53-4897-AC8C-D5715DA8DE75}"/>
            </c:ext>
          </c:extLst>
        </c:ser>
        <c:ser>
          <c:idx val="4"/>
          <c:order val="4"/>
          <c:spPr>
            <a:solidFill>
              <a:srgbClr val="FF7D67"/>
            </a:solidFill>
            <a:ln>
              <a:noFill/>
            </a:ln>
            <a:effectLst>
              <a:outerShdw blurRad="50800" dist="38100" dir="2700000" algn="ctr" rotWithShape="0">
                <a:srgbClr val="000000">
                  <a:alpha val="40000"/>
                </a:srgbClr>
              </a:outerShdw>
            </a:effectLst>
            <a:scene3d>
              <a:camera prst="orthographicFront"/>
              <a:lightRig rig="threePt" dir="t"/>
            </a:scene3d>
            <a:sp3d>
              <a:bevelT h="19050"/>
            </a:sp3d>
          </c:spPr>
          <c:invertIfNegative val="0"/>
          <c:dLbls>
            <c:dLbl>
              <c:idx val="0"/>
              <c:tx>
                <c:rich>
                  <a:bodyPr/>
                  <a:lstStyle/>
                  <a:p>
                    <a:r>
                      <a:rPr lang="en-US"/>
                      <a:t>E</a:t>
                    </a:r>
                  </a:p>
                </c:rich>
              </c:tx>
              <c:showLegendKey val="0"/>
              <c:showVal val="0"/>
              <c:showCatName val="0"/>
              <c:showSerName val="1"/>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3-72F3-4F7C-BA7A-4E2DC0D0B0B9}"/>
                </c:ext>
              </c:extLst>
            </c:dLbl>
            <c:dLbl>
              <c:idx val="1"/>
              <c:delete val="1"/>
              <c:extLst>
                <c:ext xmlns:c15="http://schemas.microsoft.com/office/drawing/2012/chart" uri="{CE6537A1-D6FC-4f65-9D91-7224C49458BB}"/>
                <c:ext xmlns:c16="http://schemas.microsoft.com/office/drawing/2014/chart" uri="{C3380CC4-5D6E-409C-BE32-E72D297353CC}">
                  <c16:uniqueId val="{00000006-2D53-4897-AC8C-D5715DA8DE75}"/>
                </c:ext>
              </c:extLst>
            </c:dLbl>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1"/>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'October calculations'!$B$414:$C$414</c:f>
              <c:numCache>
                <c:formatCode>[$£-809]#,##0.00;[Red]\-[$£-809]#,##0.00</c:formatCode>
                <c:ptCount val="2"/>
                <c:pt idx="0" formatCode="0%">
                  <c:v>0.22727272727272727</c:v>
                </c:pt>
                <c:pt idx="1">
                  <c:v>0</c:v>
                </c:pt>
              </c:numCache>
            </c:numRef>
          </c:val>
          <c:extLst>
            <c:ext xmlns:c15="http://schemas.microsoft.com/office/drawing/2012/chart" uri="{02D57815-91ED-43cb-92C2-25804820EDAC}">
              <c15:filteredSeriesTitle>
                <c15:tx>
                  <c:strRef>
                    <c:extLst>
                      <c:ext uri="{02D57815-91ED-43cb-92C2-25804820EDAC}">
                        <c15:formulaRef>
                          <c15:sqref>'October calculations'!$A$414</c15:sqref>
                        </c15:formulaRef>
                      </c:ext>
                    </c:extLst>
                    <c:strCache>
                      <c:ptCount val="1"/>
                      <c:pt idx="0">
                        <c:v>E</c:v>
                      </c:pt>
                    </c:strCache>
                  </c:strRef>
                </c15:tx>
              </c15:filteredSeriesTitle>
            </c:ext>
            <c:ext xmlns:c15="http://schemas.microsoft.com/office/drawing/2012/chart" uri="{02D57815-91ED-43cb-92C2-25804820EDAC}">
              <c15:filteredCategoryTitle>
                <c15:cat>
                  <c:strRef>
                    <c:extLst>
                      <c:ext uri="{02D57815-91ED-43cb-92C2-25804820EDAC}">
                        <c15:formulaRef>
                          <c15:sqref>'October calculations'!$B$409:$C$409</c15:sqref>
                        </c15:formulaRef>
                      </c:ext>
                    </c:extLst>
                    <c:strCache>
                      <c:ptCount val="2"/>
                      <c:pt idx="0">
                        <c:v>Apr 2017</c:v>
                      </c:pt>
                      <c:pt idx="1">
                        <c:v>Nov 2017</c:v>
                      </c:pt>
                    </c:strCache>
                  </c:strRef>
                </c15:cat>
              </c15:filteredCategoryTitle>
            </c:ext>
            <c:ext xmlns:c16="http://schemas.microsoft.com/office/drawing/2014/chart" uri="{C3380CC4-5D6E-409C-BE32-E72D297353CC}">
              <c16:uniqueId val="{00000007-2D53-4897-AC8C-D5715DA8DE75}"/>
            </c:ext>
          </c:extLst>
        </c:ser>
        <c:dLbls>
          <c:showLegendKey val="0"/>
          <c:showVal val="1"/>
          <c:showCatName val="0"/>
          <c:showSerName val="0"/>
          <c:showPercent val="0"/>
          <c:showBubbleSize val="0"/>
        </c:dLbls>
        <c:gapWidth val="52"/>
        <c:overlap val="100"/>
        <c:axId val="1829164016"/>
        <c:axId val="1742261216"/>
      </c:barChart>
      <c:catAx>
        <c:axId val="18291640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t" anchorCtr="1"/>
          <a:lstStyle/>
          <a:p>
            <a:pPr>
              <a:defRPr sz="1200" b="1" i="0" u="none" strike="noStrike" kern="1200" baseline="0">
                <a:solidFill>
                  <a:schemeClr val="tx1">
                    <a:lumMod val="65000"/>
                    <a:lumOff val="35000"/>
                  </a:schemeClr>
                </a:solidFill>
                <a:latin typeface="+mn-lt"/>
                <a:ea typeface="+mn-ea"/>
                <a:cs typeface="+mn-cs"/>
              </a:defRPr>
            </a:pPr>
            <a:endParaRPr lang="en-US"/>
          </a:p>
        </c:txPr>
        <c:crossAx val="1742261216"/>
        <c:crossesAt val="0"/>
        <c:auto val="0"/>
        <c:lblAlgn val="ctr"/>
        <c:lblOffset val="0"/>
        <c:noMultiLvlLbl val="0"/>
      </c:catAx>
      <c:valAx>
        <c:axId val="1742261216"/>
        <c:scaling>
          <c:orientation val="minMax"/>
        </c:scaling>
        <c:delete val="1"/>
        <c:axPos val="l"/>
        <c:majorGridlines>
          <c:spPr>
            <a:ln w="19050" cap="flat" cmpd="sng" algn="ctr">
              <a:solidFill>
                <a:schemeClr val="tx1">
                  <a:lumMod val="15000"/>
                  <a:lumOff val="85000"/>
                </a:schemeClr>
              </a:solidFill>
              <a:round/>
            </a:ln>
            <a:effectLst/>
          </c:spPr>
        </c:majorGridlines>
        <c:minorGridlines>
          <c:spPr>
            <a:ln w="28575" cap="flat" cmpd="sng" algn="ctr">
              <a:solidFill>
                <a:schemeClr val="tx1">
                  <a:lumMod val="5000"/>
                  <a:lumOff val="95000"/>
                </a:schemeClr>
              </a:solidFill>
              <a:round/>
            </a:ln>
            <a:effectLst/>
          </c:spPr>
        </c:minorGridlines>
        <c:numFmt formatCode="0%" sourceLinked="1"/>
        <c:majorTickMark val="cross"/>
        <c:minorTickMark val="in"/>
        <c:tickLblPos val="nextTo"/>
        <c:crossAx val="1829164016"/>
        <c:crosses val="autoZero"/>
        <c:crossBetween val="between"/>
        <c:majorUnit val="0.1"/>
        <c:minorUnit val="5.000000000000001E-2"/>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a:outerShdw blurRad="50800" dist="127000" dir="2700000" algn="tl" rotWithShape="0">
        <a:prstClr val="black">
          <a:alpha val="40000"/>
        </a:prstClr>
      </a:outerShdw>
    </a:effectLst>
    <a:scene3d>
      <a:camera prst="orthographicFront"/>
      <a:lightRig rig="threePt" dir="t"/>
    </a:scene3d>
    <a:sp3d prstMaterial="matte">
      <a:bevelT/>
    </a:sp3d>
  </c:spPr>
  <c:txPr>
    <a:bodyPr/>
    <a:lstStyle/>
    <a:p>
      <a:pPr>
        <a:defRPr/>
      </a:pPr>
      <a:endParaRPr lang="en-US"/>
    </a:p>
  </c:txPr>
  <c:externalData r:id="rId4">
    <c:autoUpdate val="0"/>
  </c:externalData>
  <c:extLst/>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0"/>
          <a:lstStyle/>
          <a:p>
            <a:pPr algn="ctr" rtl="0">
              <a:defRPr lang="en-GB" sz="1200" b="1" i="0" u="none" strike="noStrike" kern="1200" cap="none" spc="0" baseline="0">
                <a:solidFill>
                  <a:sysClr val="windowText" lastClr="000000">
                    <a:lumMod val="65000"/>
                    <a:lumOff val="35000"/>
                  </a:sysClr>
                </a:solidFill>
                <a:latin typeface="+mn-lt"/>
                <a:ea typeface="+mn-ea"/>
                <a:cs typeface="+mn-cs"/>
              </a:defRPr>
            </a:pPr>
            <a:r>
              <a:rPr lang="en-US"/>
              <a:t>Scotland</a:t>
            </a:r>
            <a:r>
              <a:rPr lang="en-US" baseline="0"/>
              <a:t> S167 Grade</a:t>
            </a:r>
          </a:p>
        </c:rich>
      </c:tx>
      <c:layout>
        <c:manualLayout>
          <c:xMode val="edge"/>
          <c:yMode val="edge"/>
          <c:x val="0.16072882194073568"/>
          <c:y val="2.0824181899657221E-2"/>
        </c:manualLayout>
      </c:layout>
      <c:overlay val="0"/>
      <c:spPr>
        <a:solidFill>
          <a:schemeClr val="bg1"/>
        </a:solidFill>
        <a:ln>
          <a:noFill/>
        </a:ln>
        <a:effectLst/>
      </c:spPr>
      <c:txPr>
        <a:bodyPr rot="0" spcFirstLastPara="1" vertOverflow="ellipsis" vert="horz" wrap="square" anchor="ctr" anchorCtr="0"/>
        <a:lstStyle/>
        <a:p>
          <a:pPr algn="ctr" rtl="0">
            <a:defRPr lang="en-GB" sz="1200" b="1" i="0" u="none" strike="noStrike" kern="1200" cap="none" spc="0" baseline="0">
              <a:solidFill>
                <a:sysClr val="windowText" lastClr="000000">
                  <a:lumMod val="65000"/>
                  <a:lumOff val="35000"/>
                </a:sysClr>
              </a:solidFill>
              <a:latin typeface="+mn-lt"/>
              <a:ea typeface="+mn-ea"/>
              <a:cs typeface="+mn-cs"/>
            </a:defRPr>
          </a:pPr>
          <a:endParaRPr lang="en-US"/>
        </a:p>
      </c:txPr>
    </c:title>
    <c:autoTitleDeleted val="0"/>
    <c:pivotFmts>
      <c:pivotFmt>
        <c:idx val="0"/>
        <c:spPr>
          <a:solidFill>
            <a:schemeClr val="accent1"/>
          </a:solidFill>
          <a:ln>
            <a:noFill/>
          </a:ln>
          <a:effectLst/>
        </c:spPr>
        <c:marker>
          <c:symbol val="none"/>
        </c:marker>
      </c:pivotFmt>
      <c:pivotFmt>
        <c:idx val="1"/>
        <c:spPr>
          <a:solidFill>
            <a:schemeClr val="accent1"/>
          </a:solidFill>
          <a:ln>
            <a:noFill/>
          </a:ln>
          <a:effectLst/>
        </c:spPr>
        <c:marker>
          <c:symbol val="none"/>
        </c:marker>
      </c:pivotFmt>
      <c:pivotFmt>
        <c:idx val="2"/>
        <c:spPr>
          <a:solidFill>
            <a:schemeClr val="accent1"/>
          </a:solidFill>
          <a:ln>
            <a:noFill/>
          </a:ln>
          <a:effectLst/>
        </c:spPr>
        <c:marker>
          <c:symbol val="none"/>
        </c:marker>
      </c:pivotFmt>
      <c:pivotFmt>
        <c:idx val="3"/>
        <c:spPr>
          <a:solidFill>
            <a:schemeClr val="accent1"/>
          </a:solidFill>
          <a:ln>
            <a:noFill/>
          </a:ln>
          <a:effectLst/>
        </c:spPr>
        <c:marker>
          <c:symbol val="none"/>
        </c:marker>
      </c:pivotFmt>
      <c:pivotFmt>
        <c:idx val="4"/>
        <c:spPr>
          <a:solidFill>
            <a:schemeClr val="accent1"/>
          </a:solidFill>
          <a:ln>
            <a:noFill/>
          </a:ln>
          <a:effectLst/>
        </c:spPr>
        <c:marker>
          <c:symbol val="none"/>
        </c:marker>
      </c:pivotFmt>
      <c:pivotFmt>
        <c:idx val="5"/>
        <c:spPr>
          <a:solidFill>
            <a:srgbClr val="7DB17A"/>
          </a:solidFill>
          <a:ln>
            <a:noFill/>
          </a:ln>
          <a:effectLst>
            <a:softEdge rad="50800"/>
          </a:effectLst>
          <a:scene3d>
            <a:camera prst="orthographicFront"/>
            <a:lightRig rig="threePt" dir="t"/>
          </a:scene3d>
          <a:sp3d>
            <a:bevelT/>
          </a:sp3d>
        </c:spPr>
        <c:marker>
          <c:symbol val="none"/>
        </c:marker>
        <c:dLbl>
          <c:idx val="0"/>
          <c:spPr>
            <a:noFill/>
            <a:ln>
              <a:noFill/>
            </a:ln>
            <a:effectLst/>
          </c:spPr>
          <c:txPr>
            <a:bodyPr rot="0" spcFirstLastPara="1" vertOverflow="overflow" horzOverflow="overflow" vert="horz" wrap="square" lIns="38100" tIns="19050" rIns="38100" bIns="19050" anchor="t" anchorCtr="1">
              <a:spAutoFit/>
            </a:bodyPr>
            <a:lstStyle/>
            <a:p>
              <a:pPr>
                <a:defRPr sz="1400" b="1" i="0" u="none" strike="noStrike" kern="1200" baseline="0">
                  <a:ln>
                    <a:noFill/>
                  </a:ln>
                  <a:solidFill>
                    <a:schemeClr val="tx1">
                      <a:lumMod val="75000"/>
                      <a:lumOff val="25000"/>
                    </a:schemeClr>
                  </a:solidFill>
                  <a:latin typeface="+mn-lt"/>
                  <a:ea typeface="+mn-ea"/>
                  <a:cs typeface="+mn-cs"/>
                </a:defRPr>
              </a:pPr>
              <a:endParaRPr lang="en-US"/>
            </a:p>
          </c:txPr>
          <c:dLblPos val="inEnd"/>
          <c:showLegendKey val="0"/>
          <c:showVal val="0"/>
          <c:showCatName val="0"/>
          <c:showSerName val="1"/>
          <c:showPercent val="0"/>
          <c:showBubbleSize val="0"/>
          <c:extLst>
            <c:ext xmlns:c15="http://schemas.microsoft.com/office/drawing/2012/chart" uri="{CE6537A1-D6FC-4f65-9D91-7224C49458BB}"/>
          </c:extLst>
        </c:dLbl>
      </c:pivotFmt>
      <c:pivotFmt>
        <c:idx val="6"/>
        <c:spPr>
          <a:solidFill>
            <a:srgbClr val="C1FFC1"/>
          </a:solidFill>
          <a:ln>
            <a:noFill/>
          </a:ln>
          <a:effectLst/>
          <a:scene3d>
            <a:camera prst="orthographicFront"/>
            <a:lightRig rig="threePt" dir="t"/>
          </a:scene3d>
          <a:sp3d>
            <a:bevel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mn-lt"/>
                  <a:ea typeface="+mn-ea"/>
                  <a:cs typeface="+mn-cs"/>
                </a:defRPr>
              </a:pPr>
              <a:endParaRPr lang="en-US"/>
            </a:p>
          </c:txPr>
          <c:dLblPos val="inEnd"/>
          <c:showLegendKey val="0"/>
          <c:showVal val="0"/>
          <c:showCatName val="0"/>
          <c:showSerName val="1"/>
          <c:showPercent val="0"/>
          <c:showBubbleSize val="0"/>
          <c:extLst>
            <c:ext xmlns:c15="http://schemas.microsoft.com/office/drawing/2012/chart" uri="{CE6537A1-D6FC-4f65-9D91-7224C49458BB}"/>
          </c:extLst>
        </c:dLbl>
      </c:pivotFmt>
      <c:pivotFmt>
        <c:idx val="7"/>
        <c:spPr>
          <a:solidFill>
            <a:srgbClr val="FFFF66"/>
          </a:solidFill>
          <a:ln>
            <a:noFill/>
          </a:ln>
          <a:effectLst/>
          <a:scene3d>
            <a:camera prst="orthographicFront"/>
            <a:lightRig rig="threePt" dir="t"/>
          </a:scene3d>
          <a:sp3d>
            <a:bevel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mn-lt"/>
                  <a:ea typeface="+mn-ea"/>
                  <a:cs typeface="+mn-cs"/>
                </a:defRPr>
              </a:pPr>
              <a:endParaRPr lang="en-US"/>
            </a:p>
          </c:txPr>
          <c:dLblPos val="inEnd"/>
          <c:showLegendKey val="0"/>
          <c:showVal val="0"/>
          <c:showCatName val="0"/>
          <c:showSerName val="1"/>
          <c:showPercent val="0"/>
          <c:showBubbleSize val="0"/>
          <c:extLst>
            <c:ext xmlns:c15="http://schemas.microsoft.com/office/drawing/2012/chart" uri="{CE6537A1-D6FC-4f65-9D91-7224C49458BB}"/>
          </c:extLst>
        </c:dLbl>
      </c:pivotFmt>
      <c:pivotFmt>
        <c:idx val="8"/>
        <c:spPr>
          <a:solidFill>
            <a:srgbClr val="FFC267"/>
          </a:solidFill>
          <a:ln>
            <a:noFill/>
          </a:ln>
          <a:effectLst/>
          <a:scene3d>
            <a:camera prst="orthographicFront"/>
            <a:lightRig rig="threePt" dir="t"/>
          </a:scene3d>
          <a:sp3d>
            <a:bevel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mn-lt"/>
                  <a:ea typeface="+mn-ea"/>
                  <a:cs typeface="+mn-cs"/>
                </a:defRPr>
              </a:pPr>
              <a:endParaRPr lang="en-US"/>
            </a:p>
          </c:txPr>
          <c:dLblPos val="inEnd"/>
          <c:showLegendKey val="0"/>
          <c:showVal val="0"/>
          <c:showCatName val="0"/>
          <c:showSerName val="1"/>
          <c:showPercent val="0"/>
          <c:showBubbleSize val="0"/>
          <c:extLst>
            <c:ext xmlns:c15="http://schemas.microsoft.com/office/drawing/2012/chart" uri="{CE6537A1-D6FC-4f65-9D91-7224C49458BB}"/>
          </c:extLst>
        </c:dLbl>
      </c:pivotFmt>
      <c:pivotFmt>
        <c:idx val="9"/>
        <c:spPr>
          <a:solidFill>
            <a:srgbClr val="FF7D67"/>
          </a:solidFill>
          <a:ln>
            <a:noFill/>
          </a:ln>
          <a:effectLst/>
          <a:scene3d>
            <a:camera prst="orthographicFront"/>
            <a:lightRig rig="threePt" dir="t"/>
          </a:scene3d>
          <a:sp3d>
            <a:bevel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mn-lt"/>
                  <a:ea typeface="+mn-ea"/>
                  <a:cs typeface="+mn-cs"/>
                </a:defRPr>
              </a:pPr>
              <a:endParaRPr lang="en-US"/>
            </a:p>
          </c:txPr>
          <c:dLblPos val="inEnd"/>
          <c:showLegendKey val="0"/>
          <c:showVal val="0"/>
          <c:showCatName val="0"/>
          <c:showSerName val="1"/>
          <c:showPercent val="0"/>
          <c:showBubbleSize val="0"/>
          <c:extLst>
            <c:ext xmlns:c15="http://schemas.microsoft.com/office/drawing/2012/chart" uri="{CE6537A1-D6FC-4f65-9D91-7224C49458BB}"/>
          </c:extLst>
        </c:dLbl>
      </c:pivotFmt>
      <c:pivotFmt>
        <c:idx val="10"/>
        <c:spPr>
          <a:solidFill>
            <a:srgbClr val="7DB17A"/>
          </a:solidFill>
          <a:ln>
            <a:noFill/>
          </a:ln>
          <a:effectLst>
            <a:softEdge rad="50800"/>
          </a:effectLst>
          <a:scene3d>
            <a:camera prst="orthographicFront"/>
            <a:lightRig rig="threePt" dir="t"/>
          </a:scene3d>
          <a:sp3d>
            <a:bevelT/>
          </a:sp3d>
        </c:spPr>
      </c:pivotFmt>
      <c:pivotFmt>
        <c:idx val="11"/>
        <c:spPr>
          <a:solidFill>
            <a:srgbClr val="7DB17A"/>
          </a:solidFill>
          <a:ln>
            <a:noFill/>
          </a:ln>
          <a:effectLst>
            <a:softEdge rad="50800"/>
          </a:effectLst>
          <a:scene3d>
            <a:camera prst="orthographicFront"/>
            <a:lightRig rig="threePt" dir="t"/>
          </a:scene3d>
          <a:sp3d>
            <a:bevelT/>
          </a:sp3d>
        </c:spPr>
      </c:pivotFmt>
      <c:pivotFmt>
        <c:idx val="12"/>
        <c:spPr>
          <a:solidFill>
            <a:srgbClr val="7DB17A"/>
          </a:solidFill>
          <a:ln>
            <a:noFill/>
          </a:ln>
          <a:effectLst>
            <a:softEdge rad="50800"/>
          </a:effectLst>
          <a:scene3d>
            <a:camera prst="orthographicFront"/>
            <a:lightRig rig="threePt" dir="t"/>
          </a:scene3d>
          <a:sp3d>
            <a:bevelT/>
          </a:sp3d>
        </c:spPr>
      </c:pivotFmt>
      <c:pivotFmt>
        <c:idx val="13"/>
        <c:spPr>
          <a:solidFill>
            <a:srgbClr val="7DB17A"/>
          </a:solidFill>
          <a:ln>
            <a:noFill/>
          </a:ln>
          <a:effectLst>
            <a:softEdge rad="50800"/>
          </a:effectLst>
          <a:scene3d>
            <a:camera prst="orthographicFront"/>
            <a:lightRig rig="threePt" dir="t"/>
          </a:scene3d>
          <a:sp3d>
            <a:bevelT/>
          </a:sp3d>
        </c:spPr>
      </c:pivotFmt>
      <c:pivotFmt>
        <c:idx val="14"/>
        <c:spPr>
          <a:solidFill>
            <a:srgbClr val="7DB17A"/>
          </a:solidFill>
          <a:ln>
            <a:noFill/>
          </a:ln>
          <a:effectLst>
            <a:softEdge rad="50800"/>
          </a:effectLst>
          <a:scene3d>
            <a:camera prst="orthographicFront"/>
            <a:lightRig rig="threePt" dir="t"/>
          </a:scene3d>
          <a:sp3d>
            <a:bevelT/>
          </a:sp3d>
        </c:spPr>
      </c:pivotFmt>
      <c:pivotFmt>
        <c:idx val="15"/>
        <c:spPr>
          <a:solidFill>
            <a:srgbClr val="7DB17A"/>
          </a:solidFill>
          <a:ln>
            <a:noFill/>
          </a:ln>
          <a:effectLst>
            <a:softEdge rad="50800"/>
          </a:effectLst>
          <a:scene3d>
            <a:camera prst="orthographicFront"/>
            <a:lightRig rig="threePt" dir="t"/>
          </a:scene3d>
          <a:sp3d>
            <a:bevelT/>
          </a:sp3d>
        </c:spPr>
      </c:pivotFmt>
      <c:pivotFmt>
        <c:idx val="16"/>
        <c:spPr>
          <a:solidFill>
            <a:srgbClr val="7DB17A"/>
          </a:solidFill>
          <a:ln>
            <a:noFill/>
          </a:ln>
          <a:effectLst>
            <a:outerShdw blurRad="50800" dist="38100" dir="2700000" algn="tl" rotWithShape="0">
              <a:prstClr val="black">
                <a:alpha val="40000"/>
              </a:prstClr>
            </a:outerShdw>
          </a:effectLst>
          <a:scene3d>
            <a:camera prst="orthographicFront"/>
            <a:lightRig rig="threePt" dir="t"/>
          </a:scene3d>
          <a:sp3d>
            <a:bevelT h="19050"/>
          </a:sp3d>
        </c:spPr>
        <c:marker>
          <c:symbol val="none"/>
        </c:marker>
        <c:dLbl>
          <c:idx val="0"/>
          <c:spPr>
            <a:noFill/>
            <a:ln>
              <a:noFill/>
            </a:ln>
            <a:effectLst/>
          </c:spPr>
          <c:txPr>
            <a:bodyPr rot="0" spcFirstLastPara="1" vertOverflow="overflow" horzOverflow="overflow" vert="horz" wrap="square" lIns="38100" tIns="19050" rIns="38100" bIns="19050" anchor="t" anchorCtr="1">
              <a:spAutoFit/>
            </a:bodyPr>
            <a:lstStyle/>
            <a:p>
              <a:pPr>
                <a:defRPr sz="1400" b="1" i="0" u="none" strike="noStrike" kern="1200" baseline="0">
                  <a:ln>
                    <a:noFill/>
                  </a:ln>
                  <a:solidFill>
                    <a:schemeClr val="tx1">
                      <a:lumMod val="75000"/>
                      <a:lumOff val="25000"/>
                    </a:schemeClr>
                  </a:solidFill>
                  <a:latin typeface="+mn-lt"/>
                  <a:ea typeface="+mn-ea"/>
                  <a:cs typeface="+mn-cs"/>
                </a:defRPr>
              </a:pPr>
              <a:endParaRPr lang="en-US"/>
            </a:p>
          </c:txPr>
          <c:dLblPos val="inEnd"/>
          <c:showLegendKey val="0"/>
          <c:showVal val="0"/>
          <c:showCatName val="0"/>
          <c:showSerName val="1"/>
          <c:showPercent val="0"/>
          <c:showBubbleSize val="0"/>
          <c:extLst>
            <c:ext xmlns:c15="http://schemas.microsoft.com/office/drawing/2012/chart" uri="{CE6537A1-D6FC-4f65-9D91-7224C49458BB}"/>
          </c:extLst>
        </c:dLbl>
      </c:pivotFmt>
      <c:pivotFmt>
        <c:idx val="17"/>
        <c:spPr>
          <a:solidFill>
            <a:srgbClr val="C1FFC1"/>
          </a:solidFill>
          <a:ln>
            <a:noFill/>
          </a:ln>
          <a:effectLst>
            <a:outerShdw blurRad="50800" dist="38100" dir="2700000" algn="tl" rotWithShape="0">
              <a:prstClr val="black">
                <a:alpha val="40000"/>
              </a:prstClr>
            </a:outerShdw>
          </a:effectLst>
          <a:scene3d>
            <a:camera prst="orthographicFront"/>
            <a:lightRig rig="threePt" dir="t"/>
          </a:scene3d>
          <a:sp3d>
            <a:bevelT h="1905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mn-lt"/>
                  <a:ea typeface="+mn-ea"/>
                  <a:cs typeface="+mn-cs"/>
                </a:defRPr>
              </a:pPr>
              <a:endParaRPr lang="en-US"/>
            </a:p>
          </c:txPr>
          <c:dLblPos val="inEnd"/>
          <c:showLegendKey val="0"/>
          <c:showVal val="0"/>
          <c:showCatName val="0"/>
          <c:showSerName val="1"/>
          <c:showPercent val="0"/>
          <c:showBubbleSize val="0"/>
          <c:extLst>
            <c:ext xmlns:c15="http://schemas.microsoft.com/office/drawing/2012/chart" uri="{CE6537A1-D6FC-4f65-9D91-7224C49458BB}"/>
          </c:extLst>
        </c:dLbl>
      </c:pivotFmt>
      <c:pivotFmt>
        <c:idx val="18"/>
        <c:spPr>
          <a:solidFill>
            <a:srgbClr val="FFFF66"/>
          </a:solidFill>
          <a:ln>
            <a:noFill/>
          </a:ln>
          <a:effectLst>
            <a:outerShdw blurRad="50800" dist="38100" dir="2700000" algn="tl" rotWithShape="0">
              <a:prstClr val="black">
                <a:alpha val="40000"/>
              </a:prstClr>
            </a:outerShdw>
          </a:effectLst>
          <a:scene3d>
            <a:camera prst="orthographicFront"/>
            <a:lightRig rig="threePt" dir="t"/>
          </a:scene3d>
          <a:sp3d>
            <a:bevelT h="1905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mn-lt"/>
                  <a:ea typeface="+mn-ea"/>
                  <a:cs typeface="+mn-cs"/>
                </a:defRPr>
              </a:pPr>
              <a:endParaRPr lang="en-US"/>
            </a:p>
          </c:txPr>
          <c:dLblPos val="inEnd"/>
          <c:showLegendKey val="0"/>
          <c:showVal val="0"/>
          <c:showCatName val="0"/>
          <c:showSerName val="1"/>
          <c:showPercent val="0"/>
          <c:showBubbleSize val="0"/>
          <c:extLst>
            <c:ext xmlns:c15="http://schemas.microsoft.com/office/drawing/2012/chart" uri="{CE6537A1-D6FC-4f65-9D91-7224C49458BB}"/>
          </c:extLst>
        </c:dLbl>
      </c:pivotFmt>
      <c:pivotFmt>
        <c:idx val="19"/>
        <c:spPr>
          <a:solidFill>
            <a:srgbClr val="FFC267"/>
          </a:solidFill>
          <a:ln>
            <a:noFill/>
          </a:ln>
          <a:effectLst>
            <a:outerShdw blurRad="50800" dist="38100" dir="2700000" algn="tl" rotWithShape="0">
              <a:prstClr val="black">
                <a:alpha val="40000"/>
              </a:prstClr>
            </a:outerShdw>
          </a:effectLst>
          <a:scene3d>
            <a:camera prst="orthographicFront"/>
            <a:lightRig rig="threePt" dir="t"/>
          </a:scene3d>
          <a:sp3d>
            <a:bevelT h="1905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mn-lt"/>
                  <a:ea typeface="+mn-ea"/>
                  <a:cs typeface="+mn-cs"/>
                </a:defRPr>
              </a:pPr>
              <a:endParaRPr lang="en-US"/>
            </a:p>
          </c:txPr>
          <c:dLblPos val="inEnd"/>
          <c:showLegendKey val="0"/>
          <c:showVal val="0"/>
          <c:showCatName val="0"/>
          <c:showSerName val="1"/>
          <c:showPercent val="0"/>
          <c:showBubbleSize val="0"/>
          <c:extLst>
            <c:ext xmlns:c15="http://schemas.microsoft.com/office/drawing/2012/chart" uri="{CE6537A1-D6FC-4f65-9D91-7224C49458BB}"/>
          </c:extLst>
        </c:dLbl>
      </c:pivotFmt>
      <c:pivotFmt>
        <c:idx val="20"/>
        <c:spPr>
          <a:solidFill>
            <a:srgbClr val="FF7D67"/>
          </a:solidFill>
          <a:ln>
            <a:noFill/>
          </a:ln>
          <a:effectLst>
            <a:outerShdw blurRad="50800" dist="38100" dir="2700000" algn="tl" rotWithShape="0">
              <a:prstClr val="black">
                <a:alpha val="40000"/>
              </a:prstClr>
            </a:outerShdw>
          </a:effectLst>
          <a:scene3d>
            <a:camera prst="orthographicFront"/>
            <a:lightRig rig="threePt" dir="t"/>
          </a:scene3d>
          <a:sp3d>
            <a:bevelT h="1905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mn-lt"/>
                  <a:ea typeface="+mn-ea"/>
                  <a:cs typeface="+mn-cs"/>
                </a:defRPr>
              </a:pPr>
              <a:endParaRPr lang="en-US"/>
            </a:p>
          </c:txPr>
          <c:dLblPos val="inEnd"/>
          <c:showLegendKey val="0"/>
          <c:showVal val="0"/>
          <c:showCatName val="0"/>
          <c:showSerName val="1"/>
          <c:showPercent val="0"/>
          <c:showBubbleSize val="0"/>
          <c:extLst>
            <c:ext xmlns:c15="http://schemas.microsoft.com/office/drawing/2012/chart" uri="{CE6537A1-D6FC-4f65-9D91-7224C49458BB}"/>
          </c:extLst>
        </c:dLbl>
      </c:pivotFmt>
      <c:pivotFmt>
        <c:idx val="21"/>
        <c:spPr>
          <a:solidFill>
            <a:srgbClr val="7DB17A"/>
          </a:solidFill>
          <a:ln>
            <a:noFill/>
          </a:ln>
          <a:effectLst>
            <a:outerShdw blurRad="50800" dist="38100" dir="2700000" algn="tl" rotWithShape="0">
              <a:prstClr val="black">
                <a:alpha val="40000"/>
              </a:prstClr>
            </a:outerShdw>
          </a:effectLst>
          <a:scene3d>
            <a:camera prst="orthographicFront"/>
            <a:lightRig rig="threePt" dir="t"/>
          </a:scene3d>
          <a:sp3d>
            <a:bevelT h="19050"/>
          </a:sp3d>
        </c:spPr>
        <c:marker>
          <c:symbol val="none"/>
        </c:marker>
        <c:dLbl>
          <c:idx val="0"/>
          <c:spPr>
            <a:noFill/>
            <a:ln>
              <a:noFill/>
            </a:ln>
            <a:effectLst/>
          </c:spPr>
          <c:txPr>
            <a:bodyPr rot="0" spcFirstLastPara="1" vertOverflow="overflow" horzOverflow="overflow" vert="horz" wrap="square" lIns="38100" tIns="19050" rIns="38100" bIns="19050" anchor="t" anchorCtr="1">
              <a:spAutoFit/>
            </a:bodyPr>
            <a:lstStyle/>
            <a:p>
              <a:pPr>
                <a:defRPr sz="1400" b="1" i="0" u="none" strike="noStrike" kern="1200" baseline="0">
                  <a:ln>
                    <a:noFill/>
                  </a:ln>
                  <a:solidFill>
                    <a:schemeClr val="tx1">
                      <a:lumMod val="75000"/>
                      <a:lumOff val="25000"/>
                    </a:schemeClr>
                  </a:solidFill>
                  <a:latin typeface="+mn-lt"/>
                  <a:ea typeface="+mn-ea"/>
                  <a:cs typeface="+mn-cs"/>
                </a:defRPr>
              </a:pPr>
              <a:endParaRPr lang="en-US"/>
            </a:p>
          </c:txPr>
          <c:dLblPos val="inEnd"/>
          <c:showLegendKey val="0"/>
          <c:showVal val="0"/>
          <c:showCatName val="0"/>
          <c:showSerName val="1"/>
          <c:showPercent val="0"/>
          <c:showBubbleSize val="0"/>
          <c:extLst>
            <c:ext xmlns:c15="http://schemas.microsoft.com/office/drawing/2012/chart" uri="{CE6537A1-D6FC-4f65-9D91-7224C49458BB}"/>
          </c:extLst>
        </c:dLbl>
      </c:pivotFmt>
      <c:pivotFmt>
        <c:idx val="22"/>
        <c:spPr>
          <a:solidFill>
            <a:srgbClr val="C1FFC1"/>
          </a:solidFill>
          <a:ln>
            <a:noFill/>
          </a:ln>
          <a:effectLst>
            <a:outerShdw blurRad="50800" dist="38100" dir="2700000" algn="tl" rotWithShape="0">
              <a:prstClr val="black">
                <a:alpha val="40000"/>
              </a:prstClr>
            </a:outerShdw>
          </a:effectLst>
          <a:scene3d>
            <a:camera prst="orthographicFront"/>
            <a:lightRig rig="threePt" dir="t"/>
          </a:scene3d>
          <a:sp3d>
            <a:bevelT h="1905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mn-lt"/>
                  <a:ea typeface="+mn-ea"/>
                  <a:cs typeface="+mn-cs"/>
                </a:defRPr>
              </a:pPr>
              <a:endParaRPr lang="en-US"/>
            </a:p>
          </c:txPr>
          <c:dLblPos val="inEnd"/>
          <c:showLegendKey val="0"/>
          <c:showVal val="0"/>
          <c:showCatName val="0"/>
          <c:showSerName val="1"/>
          <c:showPercent val="0"/>
          <c:showBubbleSize val="0"/>
          <c:extLst>
            <c:ext xmlns:c15="http://schemas.microsoft.com/office/drawing/2012/chart" uri="{CE6537A1-D6FC-4f65-9D91-7224C49458BB}"/>
          </c:extLst>
        </c:dLbl>
      </c:pivotFmt>
      <c:pivotFmt>
        <c:idx val="23"/>
        <c:spPr>
          <a:solidFill>
            <a:srgbClr val="FFFF66"/>
          </a:solidFill>
          <a:ln>
            <a:noFill/>
          </a:ln>
          <a:effectLst>
            <a:outerShdw blurRad="50800" dist="38100" dir="2700000" algn="tl" rotWithShape="0">
              <a:prstClr val="black">
                <a:alpha val="40000"/>
              </a:prstClr>
            </a:outerShdw>
          </a:effectLst>
          <a:scene3d>
            <a:camera prst="orthographicFront"/>
            <a:lightRig rig="threePt" dir="t"/>
          </a:scene3d>
          <a:sp3d>
            <a:bevelT h="1905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mn-lt"/>
                  <a:ea typeface="+mn-ea"/>
                  <a:cs typeface="+mn-cs"/>
                </a:defRPr>
              </a:pPr>
              <a:endParaRPr lang="en-US"/>
            </a:p>
          </c:txPr>
          <c:dLblPos val="inEnd"/>
          <c:showLegendKey val="0"/>
          <c:showVal val="0"/>
          <c:showCatName val="0"/>
          <c:showSerName val="1"/>
          <c:showPercent val="0"/>
          <c:showBubbleSize val="0"/>
          <c:extLst>
            <c:ext xmlns:c15="http://schemas.microsoft.com/office/drawing/2012/chart" uri="{CE6537A1-D6FC-4f65-9D91-7224C49458BB}"/>
          </c:extLst>
        </c:dLbl>
      </c:pivotFmt>
      <c:pivotFmt>
        <c:idx val="24"/>
        <c:spPr>
          <a:solidFill>
            <a:srgbClr val="FFC267"/>
          </a:solidFill>
          <a:ln>
            <a:noFill/>
          </a:ln>
          <a:effectLst>
            <a:outerShdw blurRad="50800" dist="38100" dir="2700000" algn="tl" rotWithShape="0">
              <a:prstClr val="black">
                <a:alpha val="40000"/>
              </a:prstClr>
            </a:outerShdw>
          </a:effectLst>
          <a:scene3d>
            <a:camera prst="orthographicFront"/>
            <a:lightRig rig="threePt" dir="t"/>
          </a:scene3d>
          <a:sp3d>
            <a:bevelT h="1905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mn-lt"/>
                  <a:ea typeface="+mn-ea"/>
                  <a:cs typeface="+mn-cs"/>
                </a:defRPr>
              </a:pPr>
              <a:endParaRPr lang="en-US"/>
            </a:p>
          </c:txPr>
          <c:dLblPos val="inEnd"/>
          <c:showLegendKey val="0"/>
          <c:showVal val="0"/>
          <c:showCatName val="0"/>
          <c:showSerName val="1"/>
          <c:showPercent val="0"/>
          <c:showBubbleSize val="0"/>
          <c:extLst>
            <c:ext xmlns:c15="http://schemas.microsoft.com/office/drawing/2012/chart" uri="{CE6537A1-D6FC-4f65-9D91-7224C49458BB}"/>
          </c:extLst>
        </c:dLbl>
      </c:pivotFmt>
      <c:pivotFmt>
        <c:idx val="25"/>
        <c:spPr>
          <a:solidFill>
            <a:srgbClr val="FF7D67"/>
          </a:solidFill>
          <a:ln>
            <a:noFill/>
          </a:ln>
          <a:effectLst>
            <a:outerShdw blurRad="50800" dist="38100" dir="2700000" algn="tl" rotWithShape="0">
              <a:prstClr val="black">
                <a:alpha val="40000"/>
              </a:prstClr>
            </a:outerShdw>
          </a:effectLst>
          <a:scene3d>
            <a:camera prst="orthographicFront"/>
            <a:lightRig rig="threePt" dir="t"/>
          </a:scene3d>
          <a:sp3d>
            <a:bevelT h="1905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mn-lt"/>
                  <a:ea typeface="+mn-ea"/>
                  <a:cs typeface="+mn-cs"/>
                </a:defRPr>
              </a:pPr>
              <a:endParaRPr lang="en-US"/>
            </a:p>
          </c:txPr>
          <c:dLblPos val="inEnd"/>
          <c:showLegendKey val="0"/>
          <c:showVal val="0"/>
          <c:showCatName val="0"/>
          <c:showSerName val="1"/>
          <c:showPercent val="0"/>
          <c:showBubbleSize val="0"/>
          <c:extLst>
            <c:ext xmlns:c15="http://schemas.microsoft.com/office/drawing/2012/chart" uri="{CE6537A1-D6FC-4f65-9D91-7224C49458BB}"/>
          </c:extLst>
        </c:dLbl>
      </c:pivotFmt>
      <c:pivotFmt>
        <c:idx val="26"/>
        <c:spPr>
          <a:solidFill>
            <a:srgbClr val="7DB17A"/>
          </a:solidFill>
          <a:ln>
            <a:noFill/>
          </a:ln>
          <a:effectLst>
            <a:outerShdw blurRad="50800" dist="38100" dir="2700000" algn="tl" rotWithShape="0">
              <a:prstClr val="black">
                <a:alpha val="40000"/>
              </a:prstClr>
            </a:outerShdw>
          </a:effectLst>
          <a:scene3d>
            <a:camera prst="orthographicFront"/>
            <a:lightRig rig="threePt" dir="t"/>
          </a:scene3d>
          <a:sp3d>
            <a:bevelT h="19050"/>
          </a:sp3d>
        </c:spPr>
        <c:marker>
          <c:symbol val="none"/>
        </c:marker>
        <c:dLbl>
          <c:idx val="0"/>
          <c:spPr>
            <a:noFill/>
            <a:ln>
              <a:noFill/>
            </a:ln>
            <a:effectLst/>
          </c:spPr>
          <c:txPr>
            <a:bodyPr rot="0" spcFirstLastPara="1" vertOverflow="overflow" horzOverflow="overflow" vert="horz" wrap="square" lIns="38100" tIns="19050" rIns="38100" bIns="19050" anchor="t" anchorCtr="1">
              <a:spAutoFit/>
            </a:bodyPr>
            <a:lstStyle/>
            <a:p>
              <a:pPr>
                <a:defRPr sz="1400" b="1" i="0" u="none" strike="noStrike" kern="1200" baseline="0">
                  <a:ln>
                    <a:noFill/>
                  </a:ln>
                  <a:solidFill>
                    <a:schemeClr val="tx1">
                      <a:lumMod val="75000"/>
                      <a:lumOff val="25000"/>
                    </a:schemeClr>
                  </a:solidFill>
                  <a:latin typeface="+mn-lt"/>
                  <a:ea typeface="+mn-ea"/>
                  <a:cs typeface="+mn-cs"/>
                </a:defRPr>
              </a:pPr>
              <a:endParaRPr lang="en-US"/>
            </a:p>
          </c:txPr>
          <c:dLblPos val="inEnd"/>
          <c:showLegendKey val="0"/>
          <c:showVal val="0"/>
          <c:showCatName val="0"/>
          <c:showSerName val="1"/>
          <c:showPercent val="0"/>
          <c:showBubbleSize val="0"/>
          <c:extLst>
            <c:ext xmlns:c15="http://schemas.microsoft.com/office/drawing/2012/chart" uri="{CE6537A1-D6FC-4f65-9D91-7224C49458BB}"/>
          </c:extLst>
        </c:dLbl>
      </c:pivotFmt>
      <c:pivotFmt>
        <c:idx val="27"/>
        <c:spPr>
          <a:solidFill>
            <a:srgbClr val="C1FFC1"/>
          </a:solidFill>
          <a:ln>
            <a:noFill/>
          </a:ln>
          <a:effectLst>
            <a:outerShdw blurRad="50800" dist="38100" dir="2700000" algn="tl" rotWithShape="0">
              <a:prstClr val="black">
                <a:alpha val="40000"/>
              </a:prstClr>
            </a:outerShdw>
          </a:effectLst>
          <a:scene3d>
            <a:camera prst="orthographicFront"/>
            <a:lightRig rig="threePt" dir="t"/>
          </a:scene3d>
          <a:sp3d>
            <a:bevelT h="1905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mn-lt"/>
                  <a:ea typeface="+mn-ea"/>
                  <a:cs typeface="+mn-cs"/>
                </a:defRPr>
              </a:pPr>
              <a:endParaRPr lang="en-US"/>
            </a:p>
          </c:txPr>
          <c:dLblPos val="inEnd"/>
          <c:showLegendKey val="0"/>
          <c:showVal val="0"/>
          <c:showCatName val="0"/>
          <c:showSerName val="1"/>
          <c:showPercent val="0"/>
          <c:showBubbleSize val="0"/>
          <c:extLst>
            <c:ext xmlns:c15="http://schemas.microsoft.com/office/drawing/2012/chart" uri="{CE6537A1-D6FC-4f65-9D91-7224C49458BB}"/>
          </c:extLst>
        </c:dLbl>
      </c:pivotFmt>
      <c:pivotFmt>
        <c:idx val="28"/>
        <c:spPr>
          <a:solidFill>
            <a:srgbClr val="FFFF66"/>
          </a:solidFill>
          <a:ln>
            <a:noFill/>
          </a:ln>
          <a:effectLst>
            <a:outerShdw blurRad="50800" dist="38100" dir="2700000" algn="tl" rotWithShape="0">
              <a:prstClr val="black">
                <a:alpha val="40000"/>
              </a:prstClr>
            </a:outerShdw>
          </a:effectLst>
          <a:scene3d>
            <a:camera prst="orthographicFront"/>
            <a:lightRig rig="threePt" dir="t"/>
          </a:scene3d>
          <a:sp3d>
            <a:bevelT h="1905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mn-lt"/>
                  <a:ea typeface="+mn-ea"/>
                  <a:cs typeface="+mn-cs"/>
                </a:defRPr>
              </a:pPr>
              <a:endParaRPr lang="en-US"/>
            </a:p>
          </c:txPr>
          <c:dLblPos val="inEnd"/>
          <c:showLegendKey val="0"/>
          <c:showVal val="0"/>
          <c:showCatName val="0"/>
          <c:showSerName val="1"/>
          <c:showPercent val="0"/>
          <c:showBubbleSize val="0"/>
          <c:extLst>
            <c:ext xmlns:c15="http://schemas.microsoft.com/office/drawing/2012/chart" uri="{CE6537A1-D6FC-4f65-9D91-7224C49458BB}"/>
          </c:extLst>
        </c:dLbl>
      </c:pivotFmt>
      <c:pivotFmt>
        <c:idx val="29"/>
        <c:spPr>
          <a:solidFill>
            <a:srgbClr val="FFC267"/>
          </a:solidFill>
          <a:ln>
            <a:noFill/>
          </a:ln>
          <a:effectLst>
            <a:outerShdw blurRad="50800" dist="38100" dir="2700000" algn="tl" rotWithShape="0">
              <a:prstClr val="black">
                <a:alpha val="40000"/>
              </a:prstClr>
            </a:outerShdw>
          </a:effectLst>
          <a:scene3d>
            <a:camera prst="orthographicFront"/>
            <a:lightRig rig="threePt" dir="t"/>
          </a:scene3d>
          <a:sp3d>
            <a:bevelT h="1905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mn-lt"/>
                  <a:ea typeface="+mn-ea"/>
                  <a:cs typeface="+mn-cs"/>
                </a:defRPr>
              </a:pPr>
              <a:endParaRPr lang="en-US"/>
            </a:p>
          </c:txPr>
          <c:dLblPos val="inEnd"/>
          <c:showLegendKey val="0"/>
          <c:showVal val="0"/>
          <c:showCatName val="0"/>
          <c:showSerName val="1"/>
          <c:showPercent val="0"/>
          <c:showBubbleSize val="0"/>
          <c:extLst>
            <c:ext xmlns:c15="http://schemas.microsoft.com/office/drawing/2012/chart" uri="{CE6537A1-D6FC-4f65-9D91-7224C49458BB}"/>
          </c:extLst>
        </c:dLbl>
      </c:pivotFmt>
      <c:pivotFmt>
        <c:idx val="30"/>
        <c:spPr>
          <a:solidFill>
            <a:srgbClr val="FF7D67"/>
          </a:solidFill>
          <a:ln>
            <a:noFill/>
          </a:ln>
          <a:effectLst>
            <a:outerShdw blurRad="50800" dist="38100" dir="2700000" algn="tl" rotWithShape="0">
              <a:prstClr val="black">
                <a:alpha val="40000"/>
              </a:prstClr>
            </a:outerShdw>
          </a:effectLst>
          <a:scene3d>
            <a:camera prst="orthographicFront"/>
            <a:lightRig rig="threePt" dir="t"/>
          </a:scene3d>
          <a:sp3d>
            <a:bevelT h="1905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mn-lt"/>
                  <a:ea typeface="+mn-ea"/>
                  <a:cs typeface="+mn-cs"/>
                </a:defRPr>
              </a:pPr>
              <a:endParaRPr lang="en-US"/>
            </a:p>
          </c:txPr>
          <c:dLblPos val="inEnd"/>
          <c:showLegendKey val="0"/>
          <c:showVal val="0"/>
          <c:showCatName val="0"/>
          <c:showSerName val="1"/>
          <c:showPercent val="0"/>
          <c:showBubbleSize val="0"/>
          <c:extLst>
            <c:ext xmlns:c15="http://schemas.microsoft.com/office/drawing/2012/chart" uri="{CE6537A1-D6FC-4f65-9D91-7224C49458BB}"/>
          </c:extLst>
        </c:dLbl>
      </c:pivotFmt>
    </c:pivotFmts>
    <c:plotArea>
      <c:layout>
        <c:manualLayout>
          <c:layoutTarget val="inner"/>
          <c:xMode val="edge"/>
          <c:yMode val="edge"/>
          <c:x val="9.4311182116728162E-2"/>
          <c:y val="8.6854148742479709E-2"/>
          <c:w val="0.79504228638086893"/>
          <c:h val="0.81379108263007549"/>
        </c:manualLayout>
      </c:layout>
      <c:barChart>
        <c:barDir val="col"/>
        <c:grouping val="percentStacked"/>
        <c:varyColors val="0"/>
        <c:ser>
          <c:idx val="0"/>
          <c:order val="0"/>
          <c:spPr>
            <a:solidFill>
              <a:srgbClr val="7DB17A"/>
            </a:solidFill>
            <a:ln>
              <a:noFill/>
            </a:ln>
            <a:effectLst>
              <a:outerShdw blurRad="50800" dist="38100" dir="2700000" algn="tl" rotWithShape="0">
                <a:prstClr val="black">
                  <a:alpha val="40000"/>
                </a:prstClr>
              </a:outerShdw>
            </a:effectLst>
            <a:scene3d>
              <a:camera prst="orthographicFront"/>
              <a:lightRig rig="threePt" dir="t"/>
            </a:scene3d>
            <a:sp3d>
              <a:bevelT h="19050"/>
            </a:sp3d>
          </c:spPr>
          <c:invertIfNegative val="0"/>
          <c:dLbls>
            <c:dLbl>
              <c:idx val="0"/>
              <c:layout>
                <c:manualLayout>
                  <c:x val="0"/>
                  <c:y val="-2.6625373789446638E-3"/>
                </c:manualLayout>
              </c:layout>
              <c:tx>
                <c:rich>
                  <a:bodyPr/>
                  <a:lstStyle/>
                  <a:p>
                    <a:r>
                      <a:rPr lang="en-US"/>
                      <a:t>A</a:t>
                    </a:r>
                  </a:p>
                </c:rich>
              </c:tx>
              <c:dLblPos val="ctr"/>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0-D2E5-4D39-A072-210D63630472}"/>
                </c:ext>
              </c:extLst>
            </c:dLbl>
            <c:dLbl>
              <c:idx val="1"/>
              <c:tx>
                <c:rich>
                  <a:bodyPr/>
                  <a:lstStyle/>
                  <a:p>
                    <a:r>
                      <a:rPr lang="en-US"/>
                      <a:t>A</a:t>
                    </a:r>
                  </a:p>
                </c:rich>
              </c:tx>
              <c:dLblPos val="inEnd"/>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4-0C5E-41DB-B771-1F67BE0773F8}"/>
                </c:ext>
              </c:extLst>
            </c:dLbl>
            <c:spPr>
              <a:noFill/>
              <a:ln>
                <a:noFill/>
              </a:ln>
              <a:effectLst/>
            </c:spPr>
            <c:txPr>
              <a:bodyPr rot="0" spcFirstLastPara="1" vertOverflow="overflow" horzOverflow="overflow" vert="horz" wrap="square" lIns="38100" tIns="19050" rIns="38100" bIns="19050" anchor="t" anchorCtr="1">
                <a:spAutoFit/>
              </a:bodyPr>
              <a:lstStyle/>
              <a:p>
                <a:pPr>
                  <a:defRPr sz="1200" b="1" i="0" u="none" strike="noStrike" kern="1200" baseline="0">
                    <a:ln>
                      <a:noFill/>
                    </a:ln>
                    <a:solidFill>
                      <a:schemeClr val="tx1">
                        <a:lumMod val="75000"/>
                        <a:lumOff val="25000"/>
                      </a:schemeClr>
                    </a:solidFill>
                    <a:latin typeface="+mn-lt"/>
                    <a:ea typeface="+mn-ea"/>
                    <a:cs typeface="+mn-cs"/>
                  </a:defRPr>
                </a:pPr>
                <a:endParaRPr lang="en-US"/>
              </a:p>
            </c:txPr>
            <c:dLblPos val="inEnd"/>
            <c:showLegendKey val="0"/>
            <c:showVal val="0"/>
            <c:showCatName val="0"/>
            <c:showSerName val="1"/>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'October calculations'!$B$401:$C$401</c:f>
              <c:numCache>
                <c:formatCode>0%</c:formatCode>
                <c:ptCount val="2"/>
                <c:pt idx="0">
                  <c:v>3.125E-2</c:v>
                </c:pt>
                <c:pt idx="1">
                  <c:v>0.21875</c:v>
                </c:pt>
              </c:numCache>
            </c:numRef>
          </c:val>
          <c:extLst>
            <c:ext xmlns:c15="http://schemas.microsoft.com/office/drawing/2012/chart" uri="{02D57815-91ED-43cb-92C2-25804820EDAC}">
              <c15:filteredSeriesTitle>
                <c15:tx>
                  <c:strRef>
                    <c:extLst>
                      <c:ext uri="{02D57815-91ED-43cb-92C2-25804820EDAC}">
                        <c15:formulaRef>
                          <c15:sqref>'October calculations'!$A$401</c15:sqref>
                        </c15:formulaRef>
                      </c:ext>
                    </c:extLst>
                    <c:strCache>
                      <c:ptCount val="1"/>
                      <c:pt idx="0">
                        <c:v>A</c:v>
                      </c:pt>
                    </c:strCache>
                  </c:strRef>
                </c15:tx>
              </c15:filteredSeriesTitle>
            </c:ext>
            <c:ext xmlns:c15="http://schemas.microsoft.com/office/drawing/2012/chart" uri="{02D57815-91ED-43cb-92C2-25804820EDAC}">
              <c15:filteredCategoryTitle>
                <c15:cat>
                  <c:strRef>
                    <c:extLst>
                      <c:ext uri="{02D57815-91ED-43cb-92C2-25804820EDAC}">
                        <c15:formulaRef>
                          <c15:sqref>'October calculations'!$B$400:$C$400</c15:sqref>
                        </c15:formulaRef>
                      </c:ext>
                    </c:extLst>
                    <c:strCache>
                      <c:ptCount val="2"/>
                      <c:pt idx="0">
                        <c:v>Apr 2017</c:v>
                      </c:pt>
                      <c:pt idx="1">
                        <c:v>Nov 2017</c:v>
                      </c:pt>
                    </c:strCache>
                  </c:strRef>
                </c15:cat>
              </c15:filteredCategoryTitle>
            </c:ext>
            <c:ext xmlns:c16="http://schemas.microsoft.com/office/drawing/2014/chart" uri="{C3380CC4-5D6E-409C-BE32-E72D297353CC}">
              <c16:uniqueId val="{00000001-D2E5-4D39-A072-210D63630472}"/>
            </c:ext>
          </c:extLst>
        </c:ser>
        <c:ser>
          <c:idx val="1"/>
          <c:order val="1"/>
          <c:spPr>
            <a:solidFill>
              <a:srgbClr val="C1FFC1"/>
            </a:solidFill>
            <a:ln>
              <a:noFill/>
            </a:ln>
            <a:effectLst>
              <a:outerShdw blurRad="50800" dist="38100" dir="2700000" algn="tl" rotWithShape="0">
                <a:prstClr val="black">
                  <a:alpha val="40000"/>
                </a:prstClr>
              </a:outerShdw>
            </a:effectLst>
            <a:scene3d>
              <a:camera prst="orthographicFront"/>
              <a:lightRig rig="threePt" dir="t"/>
            </a:scene3d>
            <a:sp3d>
              <a:bevelT h="19050"/>
            </a:sp3d>
          </c:spPr>
          <c:invertIfNegative val="0"/>
          <c:dLbls>
            <c:dLbl>
              <c:idx val="0"/>
              <c:tx>
                <c:rich>
                  <a:bodyPr/>
                  <a:lstStyle/>
                  <a:p>
                    <a:r>
                      <a:rPr lang="en-US"/>
                      <a:t>B</a:t>
                    </a:r>
                  </a:p>
                </c:rich>
              </c:tx>
              <c:dLblPos val="inEnd"/>
              <c:showLegendKey val="0"/>
              <c:showVal val="0"/>
              <c:showCatName val="0"/>
              <c:showSerName val="1"/>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0-0C5E-41DB-B771-1F67BE0773F8}"/>
                </c:ext>
              </c:extLst>
            </c:dLbl>
            <c:dLbl>
              <c:idx val="1"/>
              <c:layout>
                <c:manualLayout>
                  <c:x val="-6.2745082539426887E-3"/>
                  <c:y val="3.3730822284925156E-3"/>
                </c:manualLayout>
              </c:layout>
              <c:tx>
                <c:rich>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r>
                      <a:rPr lang="en-US"/>
                      <a:t>B</a:t>
                    </a:r>
                  </a:p>
                </c:rich>
              </c:tx>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endParaRPr lang="en-US"/>
                </a:p>
              </c:txPr>
              <c:dLblPos val="ctr"/>
              <c:showLegendKey val="0"/>
              <c:showVal val="0"/>
              <c:showCatName val="0"/>
              <c:showSerName val="1"/>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2-D2E5-4D39-A072-210D63630472}"/>
                </c:ext>
              </c:extLst>
            </c:dLbl>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mn-lt"/>
                    <a:ea typeface="+mn-ea"/>
                    <a:cs typeface="+mn-cs"/>
                  </a:defRPr>
                </a:pPr>
                <a:endParaRPr lang="en-US"/>
              </a:p>
            </c:txPr>
            <c:dLblPos val="inEnd"/>
            <c:showLegendKey val="0"/>
            <c:showVal val="0"/>
            <c:showCatName val="0"/>
            <c:showSerName val="1"/>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'October calculations'!$B$402:$C$402</c:f>
              <c:numCache>
                <c:formatCode>0%</c:formatCode>
                <c:ptCount val="2"/>
                <c:pt idx="0">
                  <c:v>0.21875</c:v>
                </c:pt>
                <c:pt idx="1">
                  <c:v>6.25E-2</c:v>
                </c:pt>
              </c:numCache>
            </c:numRef>
          </c:val>
          <c:extLst>
            <c:ext xmlns:c15="http://schemas.microsoft.com/office/drawing/2012/chart" uri="{02D57815-91ED-43cb-92C2-25804820EDAC}">
              <c15:filteredSeriesTitle>
                <c15:tx>
                  <c:strRef>
                    <c:extLst>
                      <c:ext uri="{02D57815-91ED-43cb-92C2-25804820EDAC}">
                        <c15:formulaRef>
                          <c15:sqref>'October calculations'!$A$402</c15:sqref>
                        </c15:formulaRef>
                      </c:ext>
                    </c:extLst>
                    <c:strCache>
                      <c:ptCount val="1"/>
                      <c:pt idx="0">
                        <c:v>B</c:v>
                      </c:pt>
                    </c:strCache>
                  </c:strRef>
                </c15:tx>
              </c15:filteredSeriesTitle>
            </c:ext>
            <c:ext xmlns:c15="http://schemas.microsoft.com/office/drawing/2012/chart" uri="{02D57815-91ED-43cb-92C2-25804820EDAC}">
              <c15:filteredCategoryTitle>
                <c15:cat>
                  <c:strRef>
                    <c:extLst>
                      <c:ext uri="{02D57815-91ED-43cb-92C2-25804820EDAC}">
                        <c15:formulaRef>
                          <c15:sqref>'October calculations'!$B$400:$C$400</c15:sqref>
                        </c15:formulaRef>
                      </c:ext>
                    </c:extLst>
                    <c:strCache>
                      <c:ptCount val="2"/>
                      <c:pt idx="0">
                        <c:v>Apr 2017</c:v>
                      </c:pt>
                      <c:pt idx="1">
                        <c:v>Nov 2017</c:v>
                      </c:pt>
                    </c:strCache>
                  </c:strRef>
                </c15:cat>
              </c15:filteredCategoryTitle>
            </c:ext>
            <c:ext xmlns:c16="http://schemas.microsoft.com/office/drawing/2014/chart" uri="{C3380CC4-5D6E-409C-BE32-E72D297353CC}">
              <c16:uniqueId val="{00000003-D2E5-4D39-A072-210D63630472}"/>
            </c:ext>
          </c:extLst>
        </c:ser>
        <c:ser>
          <c:idx val="2"/>
          <c:order val="2"/>
          <c:spPr>
            <a:solidFill>
              <a:srgbClr val="FFEB84"/>
            </a:solidFill>
            <a:ln>
              <a:noFill/>
            </a:ln>
            <a:effectLst>
              <a:outerShdw blurRad="50800" dist="38100" dir="2700000" algn="ctr" rotWithShape="0">
                <a:srgbClr val="000000">
                  <a:alpha val="40000"/>
                </a:srgbClr>
              </a:outerShdw>
            </a:effectLst>
            <a:scene3d>
              <a:camera prst="orthographicFront"/>
              <a:lightRig rig="threePt" dir="t"/>
            </a:scene3d>
            <a:sp3d>
              <a:bevelT h="19050"/>
            </a:sp3d>
          </c:spPr>
          <c:invertIfNegative val="0"/>
          <c:dLbls>
            <c:dLbl>
              <c:idx val="0"/>
              <c:tx>
                <c:rich>
                  <a:bodyPr/>
                  <a:lstStyle/>
                  <a:p>
                    <a:r>
                      <a:rPr lang="en-US"/>
                      <a:t>C</a:t>
                    </a:r>
                  </a:p>
                </c:rich>
              </c:tx>
              <c:showLegendKey val="0"/>
              <c:showVal val="0"/>
              <c:showCatName val="0"/>
              <c:showSerName val="1"/>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1-0C5E-41DB-B771-1F67BE0773F8}"/>
                </c:ext>
              </c:extLst>
            </c:dLbl>
            <c:dLbl>
              <c:idx val="1"/>
              <c:tx>
                <c:rich>
                  <a:bodyPr/>
                  <a:lstStyle/>
                  <a:p>
                    <a:r>
                      <a:rPr lang="en-US"/>
                      <a:t>C</a:t>
                    </a:r>
                  </a:p>
                </c:rich>
              </c:tx>
              <c:showLegendKey val="0"/>
              <c:showVal val="0"/>
              <c:showCatName val="0"/>
              <c:showSerName val="1"/>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5-0C5E-41DB-B771-1F67BE0773F8}"/>
                </c:ext>
              </c:extLst>
            </c:dLbl>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1"/>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'October calculations'!$B$403:$C$403</c:f>
              <c:numCache>
                <c:formatCode>0%</c:formatCode>
                <c:ptCount val="2"/>
                <c:pt idx="0">
                  <c:v>0.1875</c:v>
                </c:pt>
                <c:pt idx="1">
                  <c:v>0.25</c:v>
                </c:pt>
              </c:numCache>
            </c:numRef>
          </c:val>
          <c:extLst>
            <c:ext xmlns:c15="http://schemas.microsoft.com/office/drawing/2012/chart" uri="{02D57815-91ED-43cb-92C2-25804820EDAC}">
              <c15:filteredSeriesTitle>
                <c15:tx>
                  <c:strRef>
                    <c:extLst>
                      <c:ext uri="{02D57815-91ED-43cb-92C2-25804820EDAC}">
                        <c15:formulaRef>
                          <c15:sqref>'October calculations'!$A$403</c15:sqref>
                        </c15:formulaRef>
                      </c:ext>
                    </c:extLst>
                    <c:strCache>
                      <c:ptCount val="1"/>
                      <c:pt idx="0">
                        <c:v>C</c:v>
                      </c:pt>
                    </c:strCache>
                  </c:strRef>
                </c15:tx>
              </c15:filteredSeriesTitle>
            </c:ext>
            <c:ext xmlns:c15="http://schemas.microsoft.com/office/drawing/2012/chart" uri="{02D57815-91ED-43cb-92C2-25804820EDAC}">
              <c15:filteredCategoryTitle>
                <c15:cat>
                  <c:strRef>
                    <c:extLst>
                      <c:ext uri="{02D57815-91ED-43cb-92C2-25804820EDAC}">
                        <c15:formulaRef>
                          <c15:sqref>'October calculations'!$B$400:$C$400</c15:sqref>
                        </c15:formulaRef>
                      </c:ext>
                    </c:extLst>
                    <c:strCache>
                      <c:ptCount val="2"/>
                      <c:pt idx="0">
                        <c:v>Apr 2017</c:v>
                      </c:pt>
                      <c:pt idx="1">
                        <c:v>Nov 2017</c:v>
                      </c:pt>
                    </c:strCache>
                  </c:strRef>
                </c15:cat>
              </c15:filteredCategoryTitle>
            </c:ext>
            <c:ext xmlns:c16="http://schemas.microsoft.com/office/drawing/2014/chart" uri="{C3380CC4-5D6E-409C-BE32-E72D297353CC}">
              <c16:uniqueId val="{00000004-D2E5-4D39-A072-210D63630472}"/>
            </c:ext>
          </c:extLst>
        </c:ser>
        <c:ser>
          <c:idx val="3"/>
          <c:order val="3"/>
          <c:spPr>
            <a:solidFill>
              <a:srgbClr val="FBAA77"/>
            </a:solidFill>
            <a:ln>
              <a:noFill/>
            </a:ln>
            <a:effectLst>
              <a:outerShdw blurRad="50800" dist="38100" dir="2700000" algn="ctr" rotWithShape="0">
                <a:srgbClr val="000000">
                  <a:alpha val="40000"/>
                </a:srgbClr>
              </a:outerShdw>
            </a:effectLst>
            <a:scene3d>
              <a:camera prst="orthographicFront"/>
              <a:lightRig rig="threePt" dir="t"/>
            </a:scene3d>
            <a:sp3d>
              <a:bevelT h="19050"/>
            </a:sp3d>
          </c:spPr>
          <c:invertIfNegative val="0"/>
          <c:dLbls>
            <c:dLbl>
              <c:idx val="0"/>
              <c:tx>
                <c:rich>
                  <a:bodyPr/>
                  <a:lstStyle/>
                  <a:p>
                    <a:r>
                      <a:rPr lang="en-US"/>
                      <a:t>D</a:t>
                    </a:r>
                  </a:p>
                </c:rich>
              </c:tx>
              <c:showLegendKey val="0"/>
              <c:showVal val="0"/>
              <c:showCatName val="0"/>
              <c:showSerName val="1"/>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2-0C5E-41DB-B771-1F67BE0773F8}"/>
                </c:ext>
              </c:extLst>
            </c:dLbl>
            <c:dLbl>
              <c:idx val="1"/>
              <c:tx>
                <c:rich>
                  <a:bodyPr/>
                  <a:lstStyle/>
                  <a:p>
                    <a:r>
                      <a:rPr lang="en-US"/>
                      <a:t>D</a:t>
                    </a:r>
                  </a:p>
                </c:rich>
              </c:tx>
              <c:showLegendKey val="0"/>
              <c:showVal val="0"/>
              <c:showCatName val="0"/>
              <c:showSerName val="1"/>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6-0C5E-41DB-B771-1F67BE0773F8}"/>
                </c:ext>
              </c:extLst>
            </c:dLbl>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1"/>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'October calculations'!$B$404:$C$404</c:f>
              <c:numCache>
                <c:formatCode>0%</c:formatCode>
                <c:ptCount val="2"/>
                <c:pt idx="0">
                  <c:v>0.3125</c:v>
                </c:pt>
                <c:pt idx="1">
                  <c:v>0.375</c:v>
                </c:pt>
              </c:numCache>
            </c:numRef>
          </c:val>
          <c:extLst>
            <c:ext xmlns:c15="http://schemas.microsoft.com/office/drawing/2012/chart" uri="{02D57815-91ED-43cb-92C2-25804820EDAC}">
              <c15:filteredSeriesTitle>
                <c15:tx>
                  <c:strRef>
                    <c:extLst>
                      <c:ext uri="{02D57815-91ED-43cb-92C2-25804820EDAC}">
                        <c15:formulaRef>
                          <c15:sqref>'October calculations'!$A$404</c15:sqref>
                        </c15:formulaRef>
                      </c:ext>
                    </c:extLst>
                    <c:strCache>
                      <c:ptCount val="1"/>
                      <c:pt idx="0">
                        <c:v>D</c:v>
                      </c:pt>
                    </c:strCache>
                  </c:strRef>
                </c15:tx>
              </c15:filteredSeriesTitle>
            </c:ext>
            <c:ext xmlns:c15="http://schemas.microsoft.com/office/drawing/2012/chart" uri="{02D57815-91ED-43cb-92C2-25804820EDAC}">
              <c15:filteredCategoryTitle>
                <c15:cat>
                  <c:strRef>
                    <c:extLst>
                      <c:ext uri="{02D57815-91ED-43cb-92C2-25804820EDAC}">
                        <c15:formulaRef>
                          <c15:sqref>'October calculations'!$B$400:$C$400</c15:sqref>
                        </c15:formulaRef>
                      </c:ext>
                    </c:extLst>
                    <c:strCache>
                      <c:ptCount val="2"/>
                      <c:pt idx="0">
                        <c:v>Apr 2017</c:v>
                      </c:pt>
                      <c:pt idx="1">
                        <c:v>Nov 2017</c:v>
                      </c:pt>
                    </c:strCache>
                  </c:strRef>
                </c15:cat>
              </c15:filteredCategoryTitle>
            </c:ext>
            <c:ext xmlns:c16="http://schemas.microsoft.com/office/drawing/2014/chart" uri="{C3380CC4-5D6E-409C-BE32-E72D297353CC}">
              <c16:uniqueId val="{00000005-D2E5-4D39-A072-210D63630472}"/>
            </c:ext>
          </c:extLst>
        </c:ser>
        <c:ser>
          <c:idx val="4"/>
          <c:order val="4"/>
          <c:spPr>
            <a:solidFill>
              <a:srgbClr val="FF7D67"/>
            </a:solidFill>
            <a:ln>
              <a:noFill/>
            </a:ln>
            <a:effectLst>
              <a:outerShdw blurRad="50800" dist="38100" dir="2700000" algn="ctr" rotWithShape="0">
                <a:srgbClr val="000000">
                  <a:alpha val="40000"/>
                </a:srgbClr>
              </a:outerShdw>
            </a:effectLst>
            <a:scene3d>
              <a:camera prst="orthographicFront"/>
              <a:lightRig rig="threePt" dir="t"/>
            </a:scene3d>
            <a:sp3d>
              <a:bevelT h="19050"/>
            </a:sp3d>
          </c:spPr>
          <c:invertIfNegative val="0"/>
          <c:dLbls>
            <c:dLbl>
              <c:idx val="0"/>
              <c:tx>
                <c:rich>
                  <a:bodyPr/>
                  <a:lstStyle/>
                  <a:p>
                    <a:r>
                      <a:rPr lang="en-US"/>
                      <a:t>E</a:t>
                    </a:r>
                  </a:p>
                </c:rich>
              </c:tx>
              <c:showLegendKey val="0"/>
              <c:showVal val="0"/>
              <c:showCatName val="0"/>
              <c:showSerName val="1"/>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3-0C5E-41DB-B771-1F67BE0773F8}"/>
                </c:ext>
              </c:extLst>
            </c:dLbl>
            <c:dLbl>
              <c:idx val="1"/>
              <c:tx>
                <c:rich>
                  <a:bodyPr/>
                  <a:lstStyle/>
                  <a:p>
                    <a:r>
                      <a:rPr lang="en-US"/>
                      <a:t>E</a:t>
                    </a:r>
                  </a:p>
                </c:rich>
              </c:tx>
              <c:showLegendKey val="0"/>
              <c:showVal val="0"/>
              <c:showCatName val="0"/>
              <c:showSerName val="1"/>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7-0C5E-41DB-B771-1F67BE0773F8}"/>
                </c:ext>
              </c:extLst>
            </c:dLbl>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1"/>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'October calculations'!$B$405:$C$405</c:f>
              <c:numCache>
                <c:formatCode>0%</c:formatCode>
                <c:ptCount val="2"/>
                <c:pt idx="0">
                  <c:v>0.25</c:v>
                </c:pt>
                <c:pt idx="1">
                  <c:v>9.375E-2</c:v>
                </c:pt>
              </c:numCache>
            </c:numRef>
          </c:val>
          <c:extLst>
            <c:ext xmlns:c15="http://schemas.microsoft.com/office/drawing/2012/chart" uri="{02D57815-91ED-43cb-92C2-25804820EDAC}">
              <c15:filteredSeriesTitle>
                <c15:tx>
                  <c:strRef>
                    <c:extLst>
                      <c:ext uri="{02D57815-91ED-43cb-92C2-25804820EDAC}">
                        <c15:formulaRef>
                          <c15:sqref>'October calculations'!$A$405</c15:sqref>
                        </c15:formulaRef>
                      </c:ext>
                    </c:extLst>
                    <c:strCache>
                      <c:ptCount val="1"/>
                      <c:pt idx="0">
                        <c:v>E</c:v>
                      </c:pt>
                    </c:strCache>
                  </c:strRef>
                </c15:tx>
              </c15:filteredSeriesTitle>
            </c:ext>
            <c:ext xmlns:c15="http://schemas.microsoft.com/office/drawing/2012/chart" uri="{02D57815-91ED-43cb-92C2-25804820EDAC}">
              <c15:filteredCategoryTitle>
                <c15:cat>
                  <c:strRef>
                    <c:extLst>
                      <c:ext uri="{02D57815-91ED-43cb-92C2-25804820EDAC}">
                        <c15:formulaRef>
                          <c15:sqref>'October calculations'!$B$400:$C$400</c15:sqref>
                        </c15:formulaRef>
                      </c:ext>
                    </c:extLst>
                    <c:strCache>
                      <c:ptCount val="2"/>
                      <c:pt idx="0">
                        <c:v>Apr 2017</c:v>
                      </c:pt>
                      <c:pt idx="1">
                        <c:v>Nov 2017</c:v>
                      </c:pt>
                    </c:strCache>
                  </c:strRef>
                </c15:cat>
              </c15:filteredCategoryTitle>
            </c:ext>
            <c:ext xmlns:c16="http://schemas.microsoft.com/office/drawing/2014/chart" uri="{C3380CC4-5D6E-409C-BE32-E72D297353CC}">
              <c16:uniqueId val="{00000006-D2E5-4D39-A072-210D63630472}"/>
            </c:ext>
          </c:extLst>
        </c:ser>
        <c:dLbls>
          <c:showLegendKey val="0"/>
          <c:showVal val="1"/>
          <c:showCatName val="0"/>
          <c:showSerName val="0"/>
          <c:showPercent val="0"/>
          <c:showBubbleSize val="0"/>
        </c:dLbls>
        <c:gapWidth val="60"/>
        <c:overlap val="100"/>
        <c:axId val="1829164016"/>
        <c:axId val="1742261216"/>
      </c:barChart>
      <c:catAx>
        <c:axId val="18291640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t" anchorCtr="1"/>
          <a:lstStyle/>
          <a:p>
            <a:pPr>
              <a:defRPr sz="1200" b="1" i="0" u="none" strike="noStrike" kern="1200" baseline="0">
                <a:solidFill>
                  <a:schemeClr val="tx1">
                    <a:lumMod val="65000"/>
                    <a:lumOff val="35000"/>
                  </a:schemeClr>
                </a:solidFill>
                <a:latin typeface="+mn-lt"/>
                <a:ea typeface="+mn-ea"/>
                <a:cs typeface="+mn-cs"/>
              </a:defRPr>
            </a:pPr>
            <a:endParaRPr lang="en-US"/>
          </a:p>
        </c:txPr>
        <c:crossAx val="1742261216"/>
        <c:crossesAt val="0"/>
        <c:auto val="0"/>
        <c:lblAlgn val="ctr"/>
        <c:lblOffset val="0"/>
        <c:noMultiLvlLbl val="0"/>
      </c:catAx>
      <c:valAx>
        <c:axId val="1742261216"/>
        <c:scaling>
          <c:orientation val="minMax"/>
        </c:scaling>
        <c:delete val="1"/>
        <c:axPos val="l"/>
        <c:majorGridlines>
          <c:spPr>
            <a:ln w="19050" cap="flat" cmpd="sng" algn="ctr">
              <a:solidFill>
                <a:schemeClr val="tx1">
                  <a:lumMod val="15000"/>
                  <a:lumOff val="85000"/>
                </a:schemeClr>
              </a:solidFill>
              <a:round/>
            </a:ln>
            <a:effectLst/>
          </c:spPr>
        </c:majorGridlines>
        <c:minorGridlines>
          <c:spPr>
            <a:ln w="28575" cap="flat" cmpd="sng" algn="ctr">
              <a:solidFill>
                <a:schemeClr val="tx1">
                  <a:lumMod val="5000"/>
                  <a:lumOff val="95000"/>
                </a:schemeClr>
              </a:solidFill>
              <a:round/>
            </a:ln>
            <a:effectLst/>
          </c:spPr>
        </c:minorGridlines>
        <c:numFmt formatCode="0%" sourceLinked="1"/>
        <c:majorTickMark val="cross"/>
        <c:minorTickMark val="in"/>
        <c:tickLblPos val="nextTo"/>
        <c:crossAx val="1829164016"/>
        <c:crosses val="autoZero"/>
        <c:crossBetween val="between"/>
        <c:majorUnit val="0.1"/>
        <c:minorUnit val="5.000000000000001E-2"/>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a:outerShdw blurRad="50800" dist="127000" dir="2700000" algn="tl" rotWithShape="0">
        <a:prstClr val="black">
          <a:alpha val="40000"/>
        </a:prstClr>
      </a:outerShdw>
    </a:effectLst>
    <a:scene3d>
      <a:camera prst="orthographicFront"/>
      <a:lightRig rig="threePt" dir="t"/>
    </a:scene3d>
    <a:sp3d prstMaterial="matte">
      <a:bevelT/>
    </a:sp3d>
  </c:spPr>
  <c:txPr>
    <a:bodyPr/>
    <a:lstStyle/>
    <a:p>
      <a:pPr>
        <a:defRPr/>
      </a:pPr>
      <a:endParaRPr lang="en-US"/>
    </a:p>
  </c:txPr>
  <c:externalData r:id="rId4">
    <c:autoUpdate val="0"/>
  </c:externalData>
  <c:extLst/>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[Licensing authorities’ approach to the Equality Act 2010 provisions on taxi wheelchair discrimination.xlsx]Statistics October!Intent100%Accessible</c:name>
    <c:fmtId val="-1"/>
  </c:pivotSource>
  <c:chart>
    <c:title>
      <c:tx>
        <c:rich>
          <a:bodyPr rot="0" spcFirstLastPara="1" vertOverflow="ellipsis" vert="horz" wrap="square" anchor="ctr" anchorCtr="1"/>
          <a:lstStyle/>
          <a:p>
            <a:pPr>
              <a:defRPr sz="1200" b="1" i="0" u="none" strike="noStrike" kern="1200" cap="all" baseline="0">
                <a:solidFill>
                  <a:schemeClr val="tx1">
                    <a:lumMod val="65000"/>
                    <a:lumOff val="35000"/>
                  </a:schemeClr>
                </a:solidFill>
                <a:latin typeface="+mn-lt"/>
                <a:ea typeface="+mn-ea"/>
                <a:cs typeface="+mn-cs"/>
              </a:defRPr>
            </a:pPr>
            <a:r>
              <a:rPr lang="en-GB" cap="none" baseline="0"/>
              <a:t>Authorities with 100% accessible fleets</a:t>
            </a:r>
          </a:p>
          <a:p>
            <a:pPr>
              <a:defRPr sz="1200"/>
            </a:pPr>
            <a:r>
              <a:rPr lang="en-GB" cap="none" baseline="0"/>
              <a:t>S167 Intent</a:t>
            </a:r>
          </a:p>
        </c:rich>
      </c:tx>
      <c:overlay val="0"/>
      <c:spPr>
        <a:noFill/>
        <a:ln>
          <a:noFill/>
        </a:ln>
        <a:effectLst/>
      </c:spPr>
      <c:txPr>
        <a:bodyPr rot="0" spcFirstLastPara="1" vertOverflow="ellipsis" vert="horz" wrap="square" anchor="ctr" anchorCtr="1"/>
        <a:lstStyle/>
        <a:p>
          <a:pPr>
            <a:defRPr sz="1200" b="1" i="0" u="none" strike="noStrike" kern="1200" cap="all" baseline="0">
              <a:solidFill>
                <a:schemeClr val="tx1">
                  <a:lumMod val="65000"/>
                  <a:lumOff val="35000"/>
                </a:schemeClr>
              </a:solidFill>
              <a:latin typeface="+mn-lt"/>
              <a:ea typeface="+mn-ea"/>
              <a:cs typeface="+mn-cs"/>
            </a:defRPr>
          </a:pPr>
          <a:endParaRPr lang="en-US"/>
        </a:p>
      </c:txPr>
    </c:title>
    <c:autoTitleDeleted val="0"/>
    <c:pivotFmts>
      <c:pivotFmt>
        <c:idx val="0"/>
        <c:spPr>
          <a:solidFill>
            <a:schemeClr val="accent1"/>
          </a:solidFill>
          <a:ln>
            <a:noFill/>
          </a:ln>
          <a:effectLst>
            <a:outerShdw blurRad="63500" sx="102000" sy="102000" algn="ctr" rotWithShape="0">
              <a:prstClr val="black">
                <a:alpha val="20000"/>
              </a:prstClr>
            </a:outerShdw>
          </a:effectLst>
        </c:spPr>
        <c:marker>
          <c:symbol val="circle"/>
          <c:size val="6"/>
        </c:marke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1"/>
        <c:spPr>
          <a:solidFill>
            <a:schemeClr val="accent1"/>
          </a:solidFill>
          <a:ln>
            <a:noFill/>
          </a:ln>
          <a:effectLst>
            <a:outerShdw blurRad="63500" sx="102000" sy="102000" algn="ctr" rotWithShape="0">
              <a:prstClr val="black">
                <a:alpha val="20000"/>
              </a:prstClr>
            </a:outerShdw>
          </a:effectLst>
        </c:spPr>
        <c:marker>
          <c:symbol val="circle"/>
          <c:size val="6"/>
        </c:marke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2"/>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15:xForSave val="1"/>
            </c:ext>
          </c:extLst>
        </c:dLbl>
      </c:pivotFmt>
      <c:pivotFmt>
        <c:idx val="3"/>
        <c:spPr>
          <a:solidFill>
            <a:schemeClr val="accent2"/>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15:xForSave val="1"/>
            </c:ext>
          </c:extLst>
        </c:dLbl>
      </c:pivotFmt>
      <c:pivotFmt>
        <c:idx val="4"/>
        <c:spPr>
          <a:solidFill>
            <a:schemeClr val="accent3"/>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15:xForSave val="1"/>
            </c:ext>
          </c:extLst>
        </c:dLbl>
      </c:pivotFmt>
      <c:pivotFmt>
        <c:idx val="5"/>
        <c:spPr>
          <a:solidFill>
            <a:schemeClr val="accent4"/>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15:xForSave val="1"/>
            </c:ext>
          </c:extLst>
        </c:dLbl>
      </c:pivotFmt>
      <c:pivotFmt>
        <c:idx val="6"/>
        <c:spPr>
          <a:solidFill>
            <a:schemeClr val="accent5"/>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15:xForSave val="1"/>
            </c:ext>
          </c:extLst>
        </c:dLbl>
      </c:pivotFmt>
      <c:pivotFmt>
        <c:idx val="7"/>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15:xForSave val="1"/>
            </c:ext>
          </c:extLst>
        </c:dLbl>
      </c:pivotFmt>
      <c:pivotFmt>
        <c:idx val="8"/>
        <c:spPr>
          <a:solidFill>
            <a:schemeClr val="accent2"/>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15:xForSave val="1"/>
            </c:ext>
          </c:extLst>
        </c:dLbl>
      </c:pivotFmt>
      <c:pivotFmt>
        <c:idx val="9"/>
        <c:spPr>
          <a:solidFill>
            <a:schemeClr val="accent3"/>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15:xForSave val="1"/>
            </c:ext>
          </c:extLst>
        </c:dLbl>
      </c:pivotFmt>
      <c:pivotFmt>
        <c:idx val="10"/>
        <c:spPr>
          <a:solidFill>
            <a:schemeClr val="accent4"/>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15:xForSave val="1"/>
            </c:ext>
          </c:extLst>
        </c:dLbl>
      </c:pivotFmt>
      <c:pivotFmt>
        <c:idx val="11"/>
        <c:spPr>
          <a:solidFill>
            <a:schemeClr val="accent5"/>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15:xForSave val="1"/>
            </c:ext>
          </c:extLst>
        </c:dLbl>
      </c:pivotFmt>
      <c:pivotFmt>
        <c:idx val="12"/>
        <c:spPr>
          <a:solidFill>
            <a:schemeClr val="accent1"/>
          </a:solidFill>
          <a:ln w="15875" cmpd="tri">
            <a:solidFill>
              <a:schemeClr val="tx1"/>
            </a:solidFill>
          </a:ln>
          <a:effectLst>
            <a:outerShdw blurRad="50800" dist="63500" dir="2700000" algn="tl" rotWithShape="0">
              <a:prstClr val="black">
                <a:alpha val="40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400" b="1" i="0" u="none" strike="noStrike" kern="1200" spc="0" baseline="0">
                  <a:solidFill>
                    <a:schemeClr val="accent1"/>
                  </a:solidFill>
                  <a:latin typeface="+mn-lt"/>
                  <a:ea typeface="+mn-ea"/>
                  <a:cs typeface="+mn-cs"/>
                </a:defRPr>
              </a:pPr>
              <a:endParaRPr lang="en-US"/>
            </a:p>
          </c:txPr>
          <c:showLegendKey val="0"/>
          <c:showVal val="0"/>
          <c:showCatName val="0"/>
          <c:showSerName val="0"/>
          <c:showPercent val="1"/>
          <c:showBubbleSize val="0"/>
          <c:separator>
</c:separator>
          <c:extLst>
            <c:ext xmlns:c15="http://schemas.microsoft.com/office/drawing/2012/chart" uri="{CE6537A1-D6FC-4f65-9D91-7224C49458BB}"/>
          </c:extLst>
        </c:dLbl>
      </c:pivotFmt>
      <c:pivotFmt>
        <c:idx val="13"/>
        <c:spPr>
          <a:solidFill>
            <a:srgbClr val="99BD66"/>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4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separator>
</c:separator>
          <c:extLst>
            <c:ext xmlns:c15="http://schemas.microsoft.com/office/drawing/2012/chart" uri="{CE6537A1-D6FC-4f65-9D91-7224C49458BB}"/>
          </c:extLst>
        </c:dLbl>
      </c:pivotFmt>
      <c:pivotFmt>
        <c:idx val="14"/>
        <c:spPr>
          <a:solidFill>
            <a:srgbClr val="C1FFC1"/>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4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separator>
</c:separator>
          <c:extLst>
            <c:ext xmlns:c15="http://schemas.microsoft.com/office/drawing/2012/chart" uri="{CE6537A1-D6FC-4f65-9D91-7224C49458BB}"/>
          </c:extLst>
        </c:dLbl>
      </c:pivotFmt>
      <c:pivotFmt>
        <c:idx val="15"/>
        <c:spPr>
          <a:solidFill>
            <a:srgbClr val="FFFF66"/>
          </a:solidFill>
          <a:ln w="15875" cmpd="tri">
            <a:solidFill>
              <a:schemeClr val="tx1"/>
            </a:solidFill>
          </a:ln>
          <a:effectLst>
            <a:outerShdw blurRad="50800" dist="63500" dir="2700000" algn="tl" rotWithShape="0">
              <a:prstClr val="black">
                <a:alpha val="40000"/>
              </a:prstClr>
            </a:outerShdw>
          </a:effectLst>
        </c:spPr>
        <c:dLbl>
          <c:idx val="0"/>
          <c:layout>
            <c:manualLayout>
              <c:x val="0.10482583349824562"/>
              <c:y val="-2.6666666666666666E-3"/>
            </c:manualLayout>
          </c:layout>
          <c:spPr>
            <a:noFill/>
            <a:ln>
              <a:noFill/>
            </a:ln>
            <a:effectLst/>
          </c:spPr>
          <c:txPr>
            <a:bodyPr rot="0" spcFirstLastPara="1" vertOverflow="ellipsis" vert="horz" wrap="square" lIns="38100" tIns="19050" rIns="38100" bIns="19050" anchor="ctr" anchorCtr="1">
              <a:spAutoFit/>
            </a:bodyPr>
            <a:lstStyle/>
            <a:p>
              <a:pPr>
                <a:defRPr sz="1400" b="1" i="0" u="none" strike="noStrike" kern="1200" spc="0" baseline="0">
                  <a:solidFill>
                    <a:schemeClr val="accent1"/>
                  </a:solidFill>
                  <a:latin typeface="+mn-lt"/>
                  <a:ea typeface="+mn-ea"/>
                  <a:cs typeface="+mn-cs"/>
                </a:defRPr>
              </a:pPr>
              <a:endParaRPr lang="en-US"/>
            </a:p>
          </c:txPr>
          <c:dLblPos val="bestFit"/>
          <c:showLegendKey val="0"/>
          <c:showVal val="0"/>
          <c:showCatName val="1"/>
          <c:showSerName val="0"/>
          <c:showPercent val="1"/>
          <c:showBubbleSize val="0"/>
          <c:separator>
</c:separator>
          <c:extLst>
            <c:ext xmlns:c15="http://schemas.microsoft.com/office/drawing/2012/chart" uri="{CE6537A1-D6FC-4f65-9D91-7224C49458BB}"/>
          </c:extLst>
        </c:dLbl>
      </c:pivotFmt>
      <c:pivotFmt>
        <c:idx val="16"/>
        <c:spPr>
          <a:solidFill>
            <a:srgbClr val="FFC267"/>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4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separator>
</c:separator>
          <c:extLst>
            <c:ext xmlns:c15="http://schemas.microsoft.com/office/drawing/2012/chart" uri="{CE6537A1-D6FC-4f65-9D91-7224C49458BB}"/>
          </c:extLst>
        </c:dLbl>
      </c:pivotFmt>
      <c:pivotFmt>
        <c:idx val="17"/>
        <c:spPr>
          <a:solidFill>
            <a:srgbClr val="FF7D67"/>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4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separator>
</c:separator>
          <c:extLst>
            <c:ext xmlns:c15="http://schemas.microsoft.com/office/drawing/2012/chart" uri="{CE6537A1-D6FC-4f65-9D91-7224C49458BB}"/>
          </c:extLst>
        </c:dLbl>
      </c:pivotFmt>
      <c:pivotFmt>
        <c:idx val="18"/>
        <c:spPr>
          <a:solidFill>
            <a:schemeClr val="accent1"/>
          </a:solidFill>
          <a:ln>
            <a:noFill/>
          </a:ln>
          <a:effectLst>
            <a:outerShdw blurRad="63500" sx="102000" sy="102000" algn="ctr" rotWithShape="0">
              <a:prstClr val="black">
                <a:alpha val="20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9"/>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20"/>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21"/>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22"/>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23"/>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24"/>
        <c:spPr>
          <a:solidFill>
            <a:schemeClr val="accent1"/>
          </a:solidFill>
          <a:ln w="15875" cmpd="tri">
            <a:solidFill>
              <a:schemeClr val="tx1"/>
            </a:solidFill>
          </a:ln>
          <a:effectLst>
            <a:outerShdw blurRad="50800" dist="63500" dir="2700000" algn="tl" rotWithShape="0">
              <a:prstClr val="black">
                <a:alpha val="40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25"/>
        <c:spPr>
          <a:solidFill>
            <a:srgbClr val="99BD66"/>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400" b="1" i="0" u="none" strike="noStrike" kern="1200" spc="0" baseline="0">
                  <a:solidFill>
                    <a:schemeClr val="tx1"/>
                  </a:solidFill>
                  <a:latin typeface="+mn-lt"/>
                  <a:ea typeface="+mn-ea"/>
                  <a:cs typeface="+mn-cs"/>
                </a:defRPr>
              </a:pPr>
              <a:endParaRPr lang="en-US"/>
            </a:p>
          </c:txPr>
          <c:dLblPos val="outEnd"/>
          <c:showLegendKey val="0"/>
          <c:showVal val="0"/>
          <c:showCatName val="0"/>
          <c:showSerName val="0"/>
          <c:showPercent val="1"/>
          <c:showBubbleSize val="0"/>
          <c:extLst>
            <c:ext xmlns:c15="http://schemas.microsoft.com/office/drawing/2012/chart" uri="{CE6537A1-D6FC-4f65-9D91-7224C49458BB}"/>
          </c:extLst>
        </c:dLbl>
      </c:pivotFmt>
      <c:pivotFmt>
        <c:idx val="26"/>
        <c:spPr>
          <a:solidFill>
            <a:srgbClr val="C1FFC1"/>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400" b="1" i="0" u="none" strike="noStrike" kern="1200" spc="0" baseline="0">
                  <a:solidFill>
                    <a:schemeClr val="tx1"/>
                  </a:solidFill>
                  <a:latin typeface="+mn-lt"/>
                  <a:ea typeface="+mn-ea"/>
                  <a:cs typeface="+mn-cs"/>
                </a:defRPr>
              </a:pPr>
              <a:endParaRPr lang="en-US"/>
            </a:p>
          </c:txPr>
          <c:dLblPos val="outEnd"/>
          <c:showLegendKey val="0"/>
          <c:showVal val="0"/>
          <c:showCatName val="0"/>
          <c:showSerName val="0"/>
          <c:showPercent val="1"/>
          <c:showBubbleSize val="0"/>
          <c:extLst>
            <c:ext xmlns:c15="http://schemas.microsoft.com/office/drawing/2012/chart" uri="{CE6537A1-D6FC-4f65-9D91-7224C49458BB}"/>
          </c:extLst>
        </c:dLbl>
      </c:pivotFmt>
      <c:pivotFmt>
        <c:idx val="27"/>
        <c:spPr>
          <a:solidFill>
            <a:srgbClr val="FFFF66"/>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400" b="1" i="0" u="none" strike="noStrike" kern="1200" spc="0" baseline="0">
                  <a:solidFill>
                    <a:schemeClr val="tx1"/>
                  </a:solidFill>
                  <a:latin typeface="+mn-lt"/>
                  <a:ea typeface="+mn-ea"/>
                  <a:cs typeface="+mn-cs"/>
                </a:defRPr>
              </a:pPr>
              <a:endParaRPr lang="en-US"/>
            </a:p>
          </c:txPr>
          <c:dLblPos val="outEnd"/>
          <c:showLegendKey val="0"/>
          <c:showVal val="0"/>
          <c:showCatName val="0"/>
          <c:showSerName val="0"/>
          <c:showPercent val="1"/>
          <c:showBubbleSize val="0"/>
          <c:extLst>
            <c:ext xmlns:c15="http://schemas.microsoft.com/office/drawing/2012/chart" uri="{CE6537A1-D6FC-4f65-9D91-7224C49458BB}"/>
          </c:extLst>
        </c:dLbl>
      </c:pivotFmt>
      <c:pivotFmt>
        <c:idx val="28"/>
        <c:spPr>
          <a:solidFill>
            <a:srgbClr val="FFC267"/>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400" b="1" i="0" u="none" strike="noStrike" kern="1200" spc="0" baseline="0">
                  <a:solidFill>
                    <a:schemeClr val="tx1"/>
                  </a:solidFill>
                  <a:latin typeface="+mn-lt"/>
                  <a:ea typeface="+mn-ea"/>
                  <a:cs typeface="+mn-cs"/>
                </a:defRPr>
              </a:pPr>
              <a:endParaRPr lang="en-US"/>
            </a:p>
          </c:txPr>
          <c:dLblPos val="outEnd"/>
          <c:showLegendKey val="0"/>
          <c:showVal val="0"/>
          <c:showCatName val="0"/>
          <c:showSerName val="0"/>
          <c:showPercent val="1"/>
          <c:showBubbleSize val="0"/>
          <c:extLst>
            <c:ext xmlns:c15="http://schemas.microsoft.com/office/drawing/2012/chart" uri="{CE6537A1-D6FC-4f65-9D91-7224C49458BB}"/>
          </c:extLst>
        </c:dLbl>
      </c:pivotFmt>
      <c:pivotFmt>
        <c:idx val="29"/>
        <c:spPr>
          <a:solidFill>
            <a:srgbClr val="FF7D67"/>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400" b="1" i="0" u="none" strike="noStrike" kern="1200" spc="0" baseline="0">
                  <a:solidFill>
                    <a:schemeClr val="tx1"/>
                  </a:solidFill>
                  <a:latin typeface="+mn-lt"/>
                  <a:ea typeface="+mn-ea"/>
                  <a:cs typeface="+mn-cs"/>
                </a:defRPr>
              </a:pPr>
              <a:endParaRPr lang="en-US"/>
            </a:p>
          </c:txPr>
          <c:dLblPos val="outEnd"/>
          <c:showLegendKey val="0"/>
          <c:showVal val="0"/>
          <c:showCatName val="0"/>
          <c:showSerName val="0"/>
          <c:showPercent val="1"/>
          <c:showBubbleSize val="0"/>
          <c:extLst>
            <c:ext xmlns:c15="http://schemas.microsoft.com/office/drawing/2012/chart" uri="{CE6537A1-D6FC-4f65-9D91-7224C49458BB}"/>
          </c:extLst>
        </c:dLbl>
      </c:pivotFmt>
      <c:pivotFmt>
        <c:idx val="30"/>
        <c:spPr>
          <a:solidFill>
            <a:schemeClr val="accent1"/>
          </a:solidFill>
          <a:ln>
            <a:noFill/>
          </a:ln>
          <a:effectLst>
            <a:outerShdw blurRad="63500" sx="102000" sy="102000" algn="ctr" rotWithShape="0">
              <a:prstClr val="black">
                <a:alpha val="20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1"/>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2"/>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3"/>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4"/>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5"/>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6"/>
        <c:spPr>
          <a:solidFill>
            <a:srgbClr val="99BD66"/>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37"/>
        <c:spPr>
          <a:solidFill>
            <a:srgbClr val="C1FFC1"/>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38"/>
        <c:spPr>
          <a:solidFill>
            <a:srgbClr val="FFFF66"/>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39"/>
        <c:spPr>
          <a:solidFill>
            <a:srgbClr val="FFC267"/>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40"/>
        <c:spPr>
          <a:solidFill>
            <a:srgbClr val="FF7D67"/>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41"/>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42"/>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43"/>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44"/>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45"/>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46"/>
        <c:spPr>
          <a:solidFill>
            <a:schemeClr val="accent1"/>
          </a:solidFill>
          <a:ln w="15875" cmpd="tri">
            <a:solidFill>
              <a:schemeClr val="tx1"/>
            </a:solidFill>
          </a:ln>
          <a:effectLst>
            <a:outerShdw blurRad="50800" dist="63500" dir="2700000" algn="tl" rotWithShape="0">
              <a:prstClr val="black">
                <a:alpha val="40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47"/>
        <c:spPr>
          <a:solidFill>
            <a:srgbClr val="99BD66"/>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48"/>
        <c:spPr>
          <a:solidFill>
            <a:srgbClr val="C1FFC1"/>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49"/>
        <c:spPr>
          <a:solidFill>
            <a:srgbClr val="FFFF66"/>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50"/>
        <c:spPr>
          <a:solidFill>
            <a:srgbClr val="FFC267"/>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51"/>
        <c:spPr>
          <a:solidFill>
            <a:srgbClr val="FF7D67"/>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52"/>
        <c:spPr>
          <a:solidFill>
            <a:schemeClr val="accent1"/>
          </a:solidFill>
          <a:ln>
            <a:noFill/>
          </a:ln>
          <a:effectLst>
            <a:outerShdw blurRad="63500" sx="102000" sy="102000" algn="ctr" rotWithShape="0">
              <a:prstClr val="black">
                <a:alpha val="20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53"/>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54"/>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55"/>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56"/>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57"/>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58"/>
        <c:spPr>
          <a:solidFill>
            <a:schemeClr val="accent1"/>
          </a:solidFill>
          <a:ln w="15875" cmpd="tri">
            <a:solidFill>
              <a:schemeClr val="tx1"/>
            </a:solidFill>
          </a:ln>
          <a:effectLst>
            <a:outerShdw blurRad="50800" dist="63500" dir="2700000" algn="tl" rotWithShape="0">
              <a:prstClr val="black">
                <a:alpha val="40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59"/>
        <c:spPr>
          <a:solidFill>
            <a:srgbClr val="99BD66"/>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60"/>
        <c:spPr>
          <a:solidFill>
            <a:srgbClr val="C1FFC1"/>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61"/>
        <c:spPr>
          <a:solidFill>
            <a:srgbClr val="FFFF66"/>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62"/>
        <c:spPr>
          <a:solidFill>
            <a:srgbClr val="FFC267"/>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63"/>
        <c:spPr>
          <a:solidFill>
            <a:srgbClr val="FF7D67"/>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64"/>
        <c:spPr>
          <a:solidFill>
            <a:schemeClr val="accent1"/>
          </a:solidFill>
          <a:ln>
            <a:noFill/>
          </a:ln>
          <a:effectLst>
            <a:outerShdw blurRad="63500" sx="102000" sy="102000" algn="ctr" rotWithShape="0">
              <a:prstClr val="black">
                <a:alpha val="20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65"/>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66"/>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67"/>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68"/>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69"/>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70"/>
        <c:spPr>
          <a:solidFill>
            <a:schemeClr val="accent1"/>
          </a:solidFill>
          <a:ln w="15875" cmpd="tri">
            <a:solidFill>
              <a:schemeClr val="tx1"/>
            </a:solidFill>
          </a:ln>
          <a:effectLst>
            <a:outerShdw blurRad="50800" dist="63500" dir="2700000" algn="tl" rotWithShape="0">
              <a:prstClr val="black">
                <a:alpha val="40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71"/>
        <c:spPr>
          <a:solidFill>
            <a:srgbClr val="99BD66"/>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72"/>
        <c:spPr>
          <a:solidFill>
            <a:srgbClr val="C1FFC1"/>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73"/>
        <c:spPr>
          <a:solidFill>
            <a:schemeClr val="accent1"/>
          </a:solidFill>
          <a:ln>
            <a:noFill/>
          </a:ln>
          <a:effectLst>
            <a:outerShdw blurRad="63500" sx="102000" sy="102000" algn="ctr" rotWithShape="0">
              <a:prstClr val="black">
                <a:alpha val="20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74"/>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75"/>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76"/>
        <c:spPr>
          <a:solidFill>
            <a:schemeClr val="accent1"/>
          </a:solidFill>
          <a:ln w="15875" cmpd="tri">
            <a:solidFill>
              <a:schemeClr val="tx1"/>
            </a:solidFill>
          </a:ln>
          <a:effectLst>
            <a:outerShdw blurRad="50800" dist="63500" dir="2700000" algn="tl" rotWithShape="0">
              <a:prstClr val="black">
                <a:alpha val="40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77"/>
        <c:spPr>
          <a:solidFill>
            <a:srgbClr val="99BD66"/>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78"/>
        <c:spPr>
          <a:solidFill>
            <a:srgbClr val="FF7D67"/>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79"/>
        <c:spPr>
          <a:solidFill>
            <a:schemeClr val="accent1"/>
          </a:solidFill>
          <a:ln>
            <a:noFill/>
          </a:ln>
          <a:effectLst>
            <a:outerShdw blurRad="63500" sx="102000" sy="102000" algn="ctr" rotWithShape="0">
              <a:prstClr val="black">
                <a:alpha val="20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80"/>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81"/>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82"/>
        <c:spPr>
          <a:solidFill>
            <a:schemeClr val="accent1"/>
          </a:solidFill>
          <a:ln w="15875" cmpd="tri">
            <a:solidFill>
              <a:schemeClr val="tx1"/>
            </a:solidFill>
          </a:ln>
          <a:effectLst>
            <a:outerShdw blurRad="50800" dist="63500" dir="2700000" algn="tl" rotWithShape="0">
              <a:prstClr val="black">
                <a:alpha val="40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83"/>
        <c:spPr>
          <a:solidFill>
            <a:srgbClr val="99BD66"/>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84"/>
        <c:spPr>
          <a:solidFill>
            <a:srgbClr val="FF7D67"/>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85"/>
        <c:spPr>
          <a:solidFill>
            <a:schemeClr val="accent1"/>
          </a:solidFill>
          <a:ln>
            <a:noFill/>
          </a:ln>
          <a:effectLst>
            <a:outerShdw blurRad="63500" sx="102000" sy="102000" algn="ctr" rotWithShape="0">
              <a:prstClr val="black">
                <a:alpha val="20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86"/>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87"/>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88"/>
        <c:spPr>
          <a:solidFill>
            <a:schemeClr val="accent1"/>
          </a:solidFill>
          <a:ln w="15875" cmpd="tri">
            <a:solidFill>
              <a:schemeClr val="tx1"/>
            </a:solidFill>
          </a:ln>
          <a:effectLst>
            <a:outerShdw blurRad="50800" dist="63500" dir="2700000" algn="tl" rotWithShape="0">
              <a:prstClr val="black">
                <a:alpha val="40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89"/>
        <c:spPr>
          <a:solidFill>
            <a:srgbClr val="99BD66"/>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90"/>
        <c:spPr>
          <a:solidFill>
            <a:srgbClr val="FF7D67"/>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91"/>
        <c:spPr>
          <a:solidFill>
            <a:schemeClr val="accent1"/>
          </a:solidFill>
          <a:ln>
            <a:noFill/>
          </a:ln>
          <a:effectLst>
            <a:outerShdw blurRad="63500" sx="102000" sy="102000" algn="ctr" rotWithShape="0">
              <a:prstClr val="black">
                <a:alpha val="20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92"/>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93"/>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s>
    <c:plotArea>
      <c:layout/>
      <c:pieChart>
        <c:varyColors val="1"/>
        <c:ser>
          <c:idx val="0"/>
          <c:order val="0"/>
          <c:tx>
            <c:strRef>
              <c:f>'Statistics October'!$C$99</c:f>
              <c:strCache>
                <c:ptCount val="1"/>
                <c:pt idx="0">
                  <c:v># Authorities</c:v>
                </c:pt>
              </c:strCache>
            </c:strRef>
          </c:tx>
          <c:spPr>
            <a:ln w="15875" cmpd="tri">
              <a:solidFill>
                <a:schemeClr val="tx1"/>
              </a:solidFill>
            </a:ln>
            <a:effectLst>
              <a:outerShdw blurRad="50800" dist="63500" dir="2700000" algn="tl" rotWithShape="0">
                <a:prstClr val="black">
                  <a:alpha val="40000"/>
                </a:prstClr>
              </a:outerShdw>
            </a:effectLst>
          </c:spPr>
          <c:explosion val="3"/>
          <c:dPt>
            <c:idx val="0"/>
            <c:bubble3D val="0"/>
            <c:spPr>
              <a:solidFill>
                <a:srgbClr val="99BD66"/>
              </a:solidFill>
              <a:ln w="15875" cmpd="tri">
                <a:solidFill>
                  <a:schemeClr val="tx1"/>
                </a:solidFill>
              </a:ln>
              <a:effectLst>
                <a:outerShdw blurRad="50800" dist="63500" dir="2700000" algn="tl" rotWithShape="0">
                  <a:prstClr val="black">
                    <a:alpha val="40000"/>
                  </a:prstClr>
                </a:outerShdw>
              </a:effectLst>
            </c:spPr>
            <c:extLst>
              <c:ext xmlns:c16="http://schemas.microsoft.com/office/drawing/2014/chart" uri="{C3380CC4-5D6E-409C-BE32-E72D297353CC}">
                <c16:uniqueId val="{00000001-9545-4E64-9A3E-EA1A542C9D99}"/>
              </c:ext>
            </c:extLst>
          </c:dPt>
          <c:dPt>
            <c:idx val="1"/>
            <c:bubble3D val="0"/>
            <c:spPr>
              <a:solidFill>
                <a:srgbClr val="FF7D67"/>
              </a:solidFill>
              <a:ln w="15875" cmpd="tri">
                <a:solidFill>
                  <a:schemeClr val="tx1"/>
                </a:solidFill>
              </a:ln>
              <a:effectLst>
                <a:outerShdw blurRad="50800" dist="63500" dir="2700000" algn="tl" rotWithShape="0">
                  <a:prstClr val="black">
                    <a:alpha val="40000"/>
                  </a:prstClr>
                </a:outerShdw>
              </a:effectLst>
            </c:spPr>
            <c:extLst>
              <c:ext xmlns:c16="http://schemas.microsoft.com/office/drawing/2014/chart" uri="{C3380CC4-5D6E-409C-BE32-E72D297353CC}">
                <c16:uniqueId val="{00000003-9545-4E64-9A3E-EA1A542C9D99}"/>
              </c:ext>
            </c:extLst>
          </c:dPt>
          <c:dPt>
            <c:idx val="2"/>
            <c:bubble3D val="0"/>
            <c:spPr>
              <a:solidFill>
                <a:schemeClr val="accent3"/>
              </a:solidFill>
              <a:ln w="15875" cmpd="tri">
                <a:solidFill>
                  <a:schemeClr val="tx1"/>
                </a:solidFill>
              </a:ln>
              <a:effectLst>
                <a:outerShdw blurRad="50800" dist="63500" dir="2700000" algn="tl" rotWithShape="0">
                  <a:prstClr val="black">
                    <a:alpha val="40000"/>
                  </a:prstClr>
                </a:outerShdw>
              </a:effectLst>
            </c:spPr>
            <c:extLst>
              <c:ext xmlns:c16="http://schemas.microsoft.com/office/drawing/2014/chart" uri="{C3380CC4-5D6E-409C-BE32-E72D297353CC}">
                <c16:uniqueId val="{00000005-9545-4E64-9A3E-EA1A542C9D99}"/>
              </c:ext>
            </c:extLst>
          </c:dPt>
          <c:dPt>
            <c:idx val="3"/>
            <c:bubble3D val="0"/>
            <c:spPr>
              <a:solidFill>
                <a:schemeClr val="accent4"/>
              </a:solidFill>
              <a:ln w="15875" cmpd="tri">
                <a:solidFill>
                  <a:schemeClr val="tx1"/>
                </a:solidFill>
              </a:ln>
              <a:effectLst>
                <a:outerShdw blurRad="50800" dist="63500" dir="2700000" algn="tl" rotWithShape="0">
                  <a:prstClr val="black">
                    <a:alpha val="40000"/>
                  </a:prstClr>
                </a:outerShdw>
              </a:effectLst>
            </c:spPr>
            <c:extLst>
              <c:ext xmlns:c16="http://schemas.microsoft.com/office/drawing/2014/chart" uri="{C3380CC4-5D6E-409C-BE32-E72D297353CC}">
                <c16:uniqueId val="{00000007-9545-4E64-9A3E-EA1A542C9D99}"/>
              </c:ext>
            </c:extLst>
          </c:dPt>
          <c:dPt>
            <c:idx val="4"/>
            <c:bubble3D val="0"/>
            <c:spPr>
              <a:solidFill>
                <a:schemeClr val="accent5"/>
              </a:solidFill>
              <a:ln w="15875" cmpd="tri">
                <a:solidFill>
                  <a:schemeClr val="tx1"/>
                </a:solidFill>
              </a:ln>
              <a:effectLst>
                <a:outerShdw blurRad="50800" dist="63500" dir="2700000" algn="tl" rotWithShape="0">
                  <a:prstClr val="black">
                    <a:alpha val="40000"/>
                  </a:prstClr>
                </a:outerShdw>
              </a:effectLst>
            </c:spPr>
            <c:extLst>
              <c:ext xmlns:c16="http://schemas.microsoft.com/office/drawing/2014/chart" uri="{C3380CC4-5D6E-409C-BE32-E72D297353CC}">
                <c16:uniqueId val="{00000009-9545-4E64-9A3E-EA1A542C9D99}"/>
              </c:ext>
            </c:extLst>
          </c:dPt>
          <c:dLbls>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1-9545-4E64-9A3E-EA1A542C9D99}"/>
                </c:ext>
              </c:extLst>
            </c:dLbl>
            <c:dLbl>
              <c:idx val="1"/>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3-9545-4E64-9A3E-EA1A542C9D99}"/>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'Statistics October'!$B$100:$B$102</c:f>
              <c:strCache>
                <c:ptCount val="2"/>
                <c:pt idx="0">
                  <c:v>Yes</c:v>
                </c:pt>
                <c:pt idx="1">
                  <c:v>No</c:v>
                </c:pt>
              </c:strCache>
            </c:strRef>
          </c:cat>
          <c:val>
            <c:numRef>
              <c:f>'Statistics October'!$C$100:$C$102</c:f>
              <c:numCache>
                <c:formatCode>0</c:formatCode>
                <c:ptCount val="2"/>
                <c:pt idx="0">
                  <c:v>31</c:v>
                </c:pt>
                <c:pt idx="1">
                  <c:v>35</c:v>
                </c:pt>
              </c:numCache>
            </c:numRef>
          </c:val>
          <c:extLst>
            <c:ext xmlns:c16="http://schemas.microsoft.com/office/drawing/2014/chart" uri="{C3380CC4-5D6E-409C-BE32-E72D297353CC}">
              <c16:uniqueId val="{0000000A-9545-4E64-9A3E-EA1A542C9D99}"/>
            </c:ext>
          </c:extLst>
        </c:ser>
        <c:ser>
          <c:idx val="1"/>
          <c:order val="1"/>
          <c:tx>
            <c:strRef>
              <c:f>'Statistics October'!$D$99</c:f>
              <c:strCache>
                <c:ptCount val="1"/>
                <c:pt idx="0">
                  <c:v>% Authorities</c:v>
                </c:pt>
              </c:strCache>
            </c:strRef>
          </c:tx>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C-9545-4E64-9A3E-EA1A542C9D99}"/>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E-9545-4E64-9A3E-EA1A542C9D99}"/>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0-9545-4E64-9A3E-EA1A542C9D99}"/>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2-9545-4E64-9A3E-EA1A542C9D99}"/>
              </c:ext>
            </c:extLst>
          </c:dPt>
          <c:dPt>
            <c:idx val="4"/>
            <c:bubble3D val="0"/>
            <c:spPr>
              <a:solidFill>
                <a:schemeClr val="accent5"/>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4-9545-4E64-9A3E-EA1A542C9D99}"/>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0C-9545-4E64-9A3E-EA1A542C9D99}"/>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0E-9545-4E64-9A3E-EA1A542C9D99}"/>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'Statistics October'!$B$100:$B$102</c:f>
              <c:strCache>
                <c:ptCount val="2"/>
                <c:pt idx="0">
                  <c:v>Yes</c:v>
                </c:pt>
                <c:pt idx="1">
                  <c:v>No</c:v>
                </c:pt>
              </c:strCache>
            </c:strRef>
          </c:cat>
          <c:val>
            <c:numRef>
              <c:f>'Statistics October'!$D$100:$D$102</c:f>
              <c:numCache>
                <c:formatCode>0%</c:formatCode>
                <c:ptCount val="2"/>
                <c:pt idx="0">
                  <c:v>0.46969696969696972</c:v>
                </c:pt>
                <c:pt idx="1">
                  <c:v>0.53030303030303028</c:v>
                </c:pt>
              </c:numCache>
            </c:numRef>
          </c:val>
          <c:extLst>
            <c:ext xmlns:c16="http://schemas.microsoft.com/office/drawing/2014/chart" uri="{C3380CC4-5D6E-409C-BE32-E72D297353CC}">
              <c16:uniqueId val="{00000015-9545-4E64-9A3E-EA1A542C9D99}"/>
            </c:ext>
          </c:extLst>
        </c:ser>
        <c:dLbls>
          <c:dLblPos val="outEnd"/>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a:outerShdw blurRad="50800" dist="127000" dir="2700000" algn="tl" rotWithShape="0">
        <a:prstClr val="black">
          <a:alpha val="40000"/>
        </a:prstClr>
      </a:outerShdw>
    </a:effectLst>
    <a:scene3d>
      <a:camera prst="orthographicFront"/>
      <a:lightRig rig="threePt" dir="t"/>
    </a:scene3d>
    <a:sp3d>
      <a:bevelT/>
    </a:sp3d>
  </c:spPr>
  <c:txPr>
    <a:bodyPr/>
    <a:lstStyle/>
    <a:p>
      <a:pPr>
        <a:defRPr/>
      </a:pPr>
      <a:endParaRPr lang="en-US"/>
    </a:p>
  </c:txPr>
  <c:externalData r:id="rId4">
    <c:autoUpdate val="0"/>
  </c:externalData>
  <c:extLst>
    <c:ext xmlns:c14="http://schemas.microsoft.com/office/drawing/2007/8/2/chart" uri="{781A3756-C4B2-4CAC-9D66-4F8BD8637D16}">
      <c14:pivotOptions>
        <c14:dropZoneFilter val="1"/>
        <c14:dropZoneData val="1"/>
        <c14:dropZoneSeries val="1"/>
      </c14:pivotOptions>
    </c:ext>
    <c:ext xmlns:c16="http://schemas.microsoft.com/office/drawing/2014/chart" uri="{E28EC0CA-F0BB-4C9C-879D-F8772B89E7AC}">
      <c16:pivotOptions16>
        <c16:showExpandCollapseFieldButtons val="1"/>
      </c16:pivotOptions16>
    </c:ext>
  </c:extLst>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[Licensing authorities’ approach to the Equality Act 2010 provisions on taxi wheelchair discrimination.xlsx]Statistics October!Grade100%Accessible</c:name>
    <c:fmtId val="-1"/>
  </c:pivotSource>
  <c:chart>
    <c:title>
      <c:tx>
        <c:rich>
          <a:bodyPr rot="0" spcFirstLastPara="1" vertOverflow="ellipsis" vert="horz" wrap="square" anchor="ctr" anchorCtr="1"/>
          <a:lstStyle/>
          <a:p>
            <a:pPr>
              <a:defRPr sz="1200" b="1" i="0" u="none" strike="noStrike" kern="1200" cap="none" baseline="0">
                <a:solidFill>
                  <a:schemeClr val="tx1">
                    <a:lumMod val="65000"/>
                    <a:lumOff val="35000"/>
                  </a:schemeClr>
                </a:solidFill>
                <a:latin typeface="+mn-lt"/>
                <a:ea typeface="+mn-ea"/>
                <a:cs typeface="+mn-cs"/>
              </a:defRPr>
            </a:pPr>
            <a:r>
              <a:rPr lang="en-GB" cap="none" baseline="0"/>
              <a:t>Authorities with 100% accessible fleets</a:t>
            </a:r>
          </a:p>
          <a:p>
            <a:pPr>
              <a:defRPr sz="1200" cap="none"/>
            </a:pPr>
            <a:r>
              <a:rPr lang="en-GB" cap="none" baseline="0"/>
              <a:t>S167 Status</a:t>
            </a:r>
          </a:p>
        </c:rich>
      </c:tx>
      <c:overlay val="0"/>
      <c:spPr>
        <a:noFill/>
        <a:ln>
          <a:noFill/>
        </a:ln>
        <a:effectLst/>
      </c:spPr>
      <c:txPr>
        <a:bodyPr rot="0" spcFirstLastPara="1" vertOverflow="ellipsis" vert="horz" wrap="square" anchor="ctr" anchorCtr="1"/>
        <a:lstStyle/>
        <a:p>
          <a:pPr>
            <a:defRPr sz="1200" b="1" i="0" u="none" strike="noStrike" kern="1200" cap="none" baseline="0">
              <a:solidFill>
                <a:schemeClr val="tx1">
                  <a:lumMod val="65000"/>
                  <a:lumOff val="35000"/>
                </a:schemeClr>
              </a:solidFill>
              <a:latin typeface="+mn-lt"/>
              <a:ea typeface="+mn-ea"/>
              <a:cs typeface="+mn-cs"/>
            </a:defRPr>
          </a:pPr>
          <a:endParaRPr lang="en-US"/>
        </a:p>
      </c:txPr>
    </c:title>
    <c:autoTitleDeleted val="0"/>
    <c:pivotFmts>
      <c:pivotFmt>
        <c:idx val="0"/>
        <c:spPr>
          <a:solidFill>
            <a:schemeClr val="accent1"/>
          </a:solidFill>
          <a:ln>
            <a:noFill/>
          </a:ln>
          <a:effectLst>
            <a:outerShdw blurRad="63500" sx="102000" sy="102000" algn="ctr" rotWithShape="0">
              <a:prstClr val="black">
                <a:alpha val="20000"/>
              </a:prstClr>
            </a:outerShdw>
          </a:effectLst>
        </c:spPr>
        <c:marker>
          <c:symbol val="circle"/>
          <c:size val="6"/>
        </c:marke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1"/>
        <c:spPr>
          <a:solidFill>
            <a:schemeClr val="accent1"/>
          </a:solidFill>
          <a:ln>
            <a:noFill/>
          </a:ln>
          <a:effectLst>
            <a:outerShdw blurRad="63500" sx="102000" sy="102000" algn="ctr" rotWithShape="0">
              <a:prstClr val="black">
                <a:alpha val="20000"/>
              </a:prstClr>
            </a:outerShdw>
          </a:effectLst>
        </c:spPr>
        <c:marker>
          <c:symbol val="circle"/>
          <c:size val="6"/>
        </c:marke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2"/>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15:xForSave val="1"/>
            </c:ext>
          </c:extLst>
        </c:dLbl>
      </c:pivotFmt>
      <c:pivotFmt>
        <c:idx val="3"/>
        <c:spPr>
          <a:solidFill>
            <a:schemeClr val="accent2"/>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15:xForSave val="1"/>
            </c:ext>
          </c:extLst>
        </c:dLbl>
      </c:pivotFmt>
      <c:pivotFmt>
        <c:idx val="4"/>
        <c:spPr>
          <a:solidFill>
            <a:schemeClr val="accent3"/>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15:xForSave val="1"/>
            </c:ext>
          </c:extLst>
        </c:dLbl>
      </c:pivotFmt>
      <c:pivotFmt>
        <c:idx val="5"/>
        <c:spPr>
          <a:solidFill>
            <a:schemeClr val="accent4"/>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15:xForSave val="1"/>
            </c:ext>
          </c:extLst>
        </c:dLbl>
      </c:pivotFmt>
      <c:pivotFmt>
        <c:idx val="6"/>
        <c:spPr>
          <a:solidFill>
            <a:schemeClr val="accent5"/>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15:xForSave val="1"/>
            </c:ext>
          </c:extLst>
        </c:dLbl>
      </c:pivotFmt>
      <c:pivotFmt>
        <c:idx val="7"/>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15:xForSave val="1"/>
            </c:ext>
          </c:extLst>
        </c:dLbl>
      </c:pivotFmt>
      <c:pivotFmt>
        <c:idx val="8"/>
        <c:spPr>
          <a:solidFill>
            <a:schemeClr val="accent2"/>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15:xForSave val="1"/>
            </c:ext>
          </c:extLst>
        </c:dLbl>
      </c:pivotFmt>
      <c:pivotFmt>
        <c:idx val="9"/>
        <c:spPr>
          <a:solidFill>
            <a:schemeClr val="accent3"/>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15:xForSave val="1"/>
            </c:ext>
          </c:extLst>
        </c:dLbl>
      </c:pivotFmt>
      <c:pivotFmt>
        <c:idx val="10"/>
        <c:spPr>
          <a:solidFill>
            <a:schemeClr val="accent4"/>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15:xForSave val="1"/>
            </c:ext>
          </c:extLst>
        </c:dLbl>
      </c:pivotFmt>
      <c:pivotFmt>
        <c:idx val="11"/>
        <c:spPr>
          <a:solidFill>
            <a:schemeClr val="accent5"/>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15:xForSave val="1"/>
            </c:ext>
          </c:extLst>
        </c:dLbl>
      </c:pivotFmt>
      <c:pivotFmt>
        <c:idx val="12"/>
        <c:spPr>
          <a:solidFill>
            <a:schemeClr val="accent1"/>
          </a:solidFill>
          <a:ln w="15875" cmpd="tri">
            <a:solidFill>
              <a:schemeClr val="tx1"/>
            </a:solidFill>
          </a:ln>
          <a:effectLst>
            <a:outerShdw blurRad="50800" dist="63500" dir="2700000" algn="tl" rotWithShape="0">
              <a:prstClr val="black">
                <a:alpha val="40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400" b="1" i="0" u="none" strike="noStrike" kern="1200" spc="0" baseline="0">
                  <a:solidFill>
                    <a:schemeClr val="accent1"/>
                  </a:solidFill>
                  <a:latin typeface="+mn-lt"/>
                  <a:ea typeface="+mn-ea"/>
                  <a:cs typeface="+mn-cs"/>
                </a:defRPr>
              </a:pPr>
              <a:endParaRPr lang="en-US"/>
            </a:p>
          </c:txPr>
          <c:showLegendKey val="0"/>
          <c:showVal val="0"/>
          <c:showCatName val="0"/>
          <c:showSerName val="0"/>
          <c:showPercent val="1"/>
          <c:showBubbleSize val="0"/>
          <c:separator>
</c:separator>
          <c:extLst>
            <c:ext xmlns:c15="http://schemas.microsoft.com/office/drawing/2012/chart" uri="{CE6537A1-D6FC-4f65-9D91-7224C49458BB}"/>
          </c:extLst>
        </c:dLbl>
      </c:pivotFmt>
      <c:pivotFmt>
        <c:idx val="13"/>
        <c:spPr>
          <a:solidFill>
            <a:srgbClr val="99BD66"/>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4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separator>
</c:separator>
          <c:extLst>
            <c:ext xmlns:c15="http://schemas.microsoft.com/office/drawing/2012/chart" uri="{CE6537A1-D6FC-4f65-9D91-7224C49458BB}"/>
          </c:extLst>
        </c:dLbl>
      </c:pivotFmt>
      <c:pivotFmt>
        <c:idx val="14"/>
        <c:spPr>
          <a:solidFill>
            <a:srgbClr val="C1FFC1"/>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4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separator>
</c:separator>
          <c:extLst>
            <c:ext xmlns:c15="http://schemas.microsoft.com/office/drawing/2012/chart" uri="{CE6537A1-D6FC-4f65-9D91-7224C49458BB}"/>
          </c:extLst>
        </c:dLbl>
      </c:pivotFmt>
      <c:pivotFmt>
        <c:idx val="15"/>
        <c:spPr>
          <a:solidFill>
            <a:srgbClr val="FFFF66"/>
          </a:solidFill>
          <a:ln w="15875" cmpd="tri">
            <a:solidFill>
              <a:schemeClr val="tx1"/>
            </a:solidFill>
          </a:ln>
          <a:effectLst>
            <a:outerShdw blurRad="50800" dist="63500" dir="2700000" algn="tl" rotWithShape="0">
              <a:prstClr val="black">
                <a:alpha val="40000"/>
              </a:prstClr>
            </a:outerShdw>
          </a:effectLst>
        </c:spPr>
        <c:dLbl>
          <c:idx val="0"/>
          <c:layout>
            <c:manualLayout>
              <c:x val="0.10482583349824562"/>
              <c:y val="-2.6666666666666666E-3"/>
            </c:manualLayout>
          </c:layout>
          <c:spPr>
            <a:noFill/>
            <a:ln>
              <a:noFill/>
            </a:ln>
            <a:effectLst/>
          </c:spPr>
          <c:txPr>
            <a:bodyPr rot="0" spcFirstLastPara="1" vertOverflow="ellipsis" vert="horz" wrap="square" lIns="38100" tIns="19050" rIns="38100" bIns="19050" anchor="ctr" anchorCtr="1">
              <a:spAutoFit/>
            </a:bodyPr>
            <a:lstStyle/>
            <a:p>
              <a:pPr>
                <a:defRPr sz="1400" b="1" i="0" u="none" strike="noStrike" kern="1200" spc="0" baseline="0">
                  <a:solidFill>
                    <a:schemeClr val="accent1"/>
                  </a:solidFill>
                  <a:latin typeface="+mn-lt"/>
                  <a:ea typeface="+mn-ea"/>
                  <a:cs typeface="+mn-cs"/>
                </a:defRPr>
              </a:pPr>
              <a:endParaRPr lang="en-US"/>
            </a:p>
          </c:txPr>
          <c:dLblPos val="bestFit"/>
          <c:showLegendKey val="0"/>
          <c:showVal val="0"/>
          <c:showCatName val="1"/>
          <c:showSerName val="0"/>
          <c:showPercent val="1"/>
          <c:showBubbleSize val="0"/>
          <c:separator>
</c:separator>
          <c:extLst>
            <c:ext xmlns:c15="http://schemas.microsoft.com/office/drawing/2012/chart" uri="{CE6537A1-D6FC-4f65-9D91-7224C49458BB}"/>
          </c:extLst>
        </c:dLbl>
      </c:pivotFmt>
      <c:pivotFmt>
        <c:idx val="16"/>
        <c:spPr>
          <a:solidFill>
            <a:srgbClr val="FFC267"/>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4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separator>
</c:separator>
          <c:extLst>
            <c:ext xmlns:c15="http://schemas.microsoft.com/office/drawing/2012/chart" uri="{CE6537A1-D6FC-4f65-9D91-7224C49458BB}"/>
          </c:extLst>
        </c:dLbl>
      </c:pivotFmt>
      <c:pivotFmt>
        <c:idx val="17"/>
        <c:spPr>
          <a:solidFill>
            <a:srgbClr val="FF7D67"/>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4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separator>
</c:separator>
          <c:extLst>
            <c:ext xmlns:c15="http://schemas.microsoft.com/office/drawing/2012/chart" uri="{CE6537A1-D6FC-4f65-9D91-7224C49458BB}"/>
          </c:extLst>
        </c:dLbl>
      </c:pivotFmt>
      <c:pivotFmt>
        <c:idx val="18"/>
        <c:spPr>
          <a:solidFill>
            <a:schemeClr val="accent1"/>
          </a:solidFill>
          <a:ln>
            <a:noFill/>
          </a:ln>
          <a:effectLst>
            <a:outerShdw blurRad="63500" sx="102000" sy="102000" algn="ctr" rotWithShape="0">
              <a:prstClr val="black">
                <a:alpha val="20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9"/>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20"/>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21"/>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22"/>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23"/>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24"/>
        <c:spPr>
          <a:solidFill>
            <a:schemeClr val="accent1"/>
          </a:solidFill>
          <a:ln w="15875" cmpd="tri">
            <a:solidFill>
              <a:schemeClr val="tx1"/>
            </a:solidFill>
          </a:ln>
          <a:effectLst>
            <a:outerShdw blurRad="50800" dist="63500" dir="2700000" algn="tl" rotWithShape="0">
              <a:prstClr val="black">
                <a:alpha val="40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25"/>
        <c:spPr>
          <a:solidFill>
            <a:srgbClr val="99BD66"/>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400" b="1" i="0" u="none" strike="noStrike" kern="1200" spc="0" baseline="0">
                  <a:solidFill>
                    <a:schemeClr val="tx1"/>
                  </a:solidFill>
                  <a:latin typeface="+mn-lt"/>
                  <a:ea typeface="+mn-ea"/>
                  <a:cs typeface="+mn-cs"/>
                </a:defRPr>
              </a:pPr>
              <a:endParaRPr lang="en-US"/>
            </a:p>
          </c:txPr>
          <c:dLblPos val="outEnd"/>
          <c:showLegendKey val="0"/>
          <c:showVal val="0"/>
          <c:showCatName val="0"/>
          <c:showSerName val="0"/>
          <c:showPercent val="1"/>
          <c:showBubbleSize val="0"/>
          <c:extLst>
            <c:ext xmlns:c15="http://schemas.microsoft.com/office/drawing/2012/chart" uri="{CE6537A1-D6FC-4f65-9D91-7224C49458BB}"/>
          </c:extLst>
        </c:dLbl>
      </c:pivotFmt>
      <c:pivotFmt>
        <c:idx val="26"/>
        <c:spPr>
          <a:solidFill>
            <a:srgbClr val="C1FFC1"/>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400" b="1" i="0" u="none" strike="noStrike" kern="1200" spc="0" baseline="0">
                  <a:solidFill>
                    <a:schemeClr val="tx1"/>
                  </a:solidFill>
                  <a:latin typeface="+mn-lt"/>
                  <a:ea typeface="+mn-ea"/>
                  <a:cs typeface="+mn-cs"/>
                </a:defRPr>
              </a:pPr>
              <a:endParaRPr lang="en-US"/>
            </a:p>
          </c:txPr>
          <c:dLblPos val="outEnd"/>
          <c:showLegendKey val="0"/>
          <c:showVal val="0"/>
          <c:showCatName val="0"/>
          <c:showSerName val="0"/>
          <c:showPercent val="1"/>
          <c:showBubbleSize val="0"/>
          <c:extLst>
            <c:ext xmlns:c15="http://schemas.microsoft.com/office/drawing/2012/chart" uri="{CE6537A1-D6FC-4f65-9D91-7224C49458BB}"/>
          </c:extLst>
        </c:dLbl>
      </c:pivotFmt>
      <c:pivotFmt>
        <c:idx val="27"/>
        <c:spPr>
          <a:solidFill>
            <a:srgbClr val="FFFF66"/>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400" b="1" i="0" u="none" strike="noStrike" kern="1200" spc="0" baseline="0">
                  <a:solidFill>
                    <a:schemeClr val="tx1"/>
                  </a:solidFill>
                  <a:latin typeface="+mn-lt"/>
                  <a:ea typeface="+mn-ea"/>
                  <a:cs typeface="+mn-cs"/>
                </a:defRPr>
              </a:pPr>
              <a:endParaRPr lang="en-US"/>
            </a:p>
          </c:txPr>
          <c:dLblPos val="outEnd"/>
          <c:showLegendKey val="0"/>
          <c:showVal val="0"/>
          <c:showCatName val="0"/>
          <c:showSerName val="0"/>
          <c:showPercent val="1"/>
          <c:showBubbleSize val="0"/>
          <c:extLst>
            <c:ext xmlns:c15="http://schemas.microsoft.com/office/drawing/2012/chart" uri="{CE6537A1-D6FC-4f65-9D91-7224C49458BB}"/>
          </c:extLst>
        </c:dLbl>
      </c:pivotFmt>
      <c:pivotFmt>
        <c:idx val="28"/>
        <c:spPr>
          <a:solidFill>
            <a:srgbClr val="FFC267"/>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400" b="1" i="0" u="none" strike="noStrike" kern="1200" spc="0" baseline="0">
                  <a:solidFill>
                    <a:schemeClr val="tx1"/>
                  </a:solidFill>
                  <a:latin typeface="+mn-lt"/>
                  <a:ea typeface="+mn-ea"/>
                  <a:cs typeface="+mn-cs"/>
                </a:defRPr>
              </a:pPr>
              <a:endParaRPr lang="en-US"/>
            </a:p>
          </c:txPr>
          <c:dLblPos val="outEnd"/>
          <c:showLegendKey val="0"/>
          <c:showVal val="0"/>
          <c:showCatName val="0"/>
          <c:showSerName val="0"/>
          <c:showPercent val="1"/>
          <c:showBubbleSize val="0"/>
          <c:extLst>
            <c:ext xmlns:c15="http://schemas.microsoft.com/office/drawing/2012/chart" uri="{CE6537A1-D6FC-4f65-9D91-7224C49458BB}"/>
          </c:extLst>
        </c:dLbl>
      </c:pivotFmt>
      <c:pivotFmt>
        <c:idx val="29"/>
        <c:spPr>
          <a:solidFill>
            <a:srgbClr val="FF7D67"/>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400" b="1" i="0" u="none" strike="noStrike" kern="1200" spc="0" baseline="0">
                  <a:solidFill>
                    <a:schemeClr val="tx1"/>
                  </a:solidFill>
                  <a:latin typeface="+mn-lt"/>
                  <a:ea typeface="+mn-ea"/>
                  <a:cs typeface="+mn-cs"/>
                </a:defRPr>
              </a:pPr>
              <a:endParaRPr lang="en-US"/>
            </a:p>
          </c:txPr>
          <c:dLblPos val="outEnd"/>
          <c:showLegendKey val="0"/>
          <c:showVal val="0"/>
          <c:showCatName val="0"/>
          <c:showSerName val="0"/>
          <c:showPercent val="1"/>
          <c:showBubbleSize val="0"/>
          <c:extLst>
            <c:ext xmlns:c15="http://schemas.microsoft.com/office/drawing/2012/chart" uri="{CE6537A1-D6FC-4f65-9D91-7224C49458BB}"/>
          </c:extLst>
        </c:dLbl>
      </c:pivotFmt>
      <c:pivotFmt>
        <c:idx val="30"/>
        <c:spPr>
          <a:solidFill>
            <a:schemeClr val="accent1"/>
          </a:solidFill>
          <a:ln>
            <a:noFill/>
          </a:ln>
          <a:effectLst>
            <a:outerShdw blurRad="63500" sx="102000" sy="102000" algn="ctr" rotWithShape="0">
              <a:prstClr val="black">
                <a:alpha val="20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1"/>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2"/>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3"/>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4"/>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5"/>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6"/>
        <c:spPr>
          <a:solidFill>
            <a:srgbClr val="99BD66"/>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37"/>
        <c:spPr>
          <a:solidFill>
            <a:srgbClr val="C1FFC1"/>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38"/>
        <c:spPr>
          <a:solidFill>
            <a:srgbClr val="FFFF66"/>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39"/>
        <c:spPr>
          <a:solidFill>
            <a:srgbClr val="FFC267"/>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40"/>
        <c:spPr>
          <a:solidFill>
            <a:srgbClr val="FF7D67"/>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41"/>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42"/>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43"/>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44"/>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45"/>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46"/>
        <c:spPr>
          <a:solidFill>
            <a:schemeClr val="accent1"/>
          </a:solidFill>
          <a:ln w="15875" cmpd="tri">
            <a:solidFill>
              <a:schemeClr val="tx1"/>
            </a:solidFill>
          </a:ln>
          <a:effectLst>
            <a:outerShdw blurRad="50800" dist="63500" dir="2700000" algn="tl" rotWithShape="0">
              <a:prstClr val="black">
                <a:alpha val="40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47"/>
        <c:spPr>
          <a:solidFill>
            <a:srgbClr val="99BD66"/>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48"/>
        <c:spPr>
          <a:solidFill>
            <a:srgbClr val="C1FFC1"/>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49"/>
        <c:spPr>
          <a:solidFill>
            <a:srgbClr val="FFFF66"/>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50"/>
        <c:spPr>
          <a:solidFill>
            <a:srgbClr val="FFC267"/>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51"/>
        <c:spPr>
          <a:solidFill>
            <a:srgbClr val="FF7D67"/>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52"/>
        <c:spPr>
          <a:solidFill>
            <a:schemeClr val="accent1"/>
          </a:solidFill>
          <a:ln>
            <a:noFill/>
          </a:ln>
          <a:effectLst>
            <a:outerShdw blurRad="63500" sx="102000" sy="102000" algn="ctr" rotWithShape="0">
              <a:prstClr val="black">
                <a:alpha val="20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53"/>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54"/>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55"/>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56"/>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57"/>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58"/>
        <c:spPr>
          <a:solidFill>
            <a:schemeClr val="accent1"/>
          </a:solidFill>
          <a:ln w="15875" cmpd="tri">
            <a:solidFill>
              <a:schemeClr val="tx1"/>
            </a:solidFill>
          </a:ln>
          <a:effectLst>
            <a:outerShdw blurRad="50800" dist="63500" dir="2700000" algn="tl" rotWithShape="0">
              <a:prstClr val="black">
                <a:alpha val="40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59"/>
        <c:spPr>
          <a:solidFill>
            <a:srgbClr val="99BD66"/>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60"/>
        <c:spPr>
          <a:solidFill>
            <a:srgbClr val="C1FFC1"/>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61"/>
        <c:spPr>
          <a:solidFill>
            <a:srgbClr val="FFFF66"/>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62"/>
        <c:spPr>
          <a:solidFill>
            <a:srgbClr val="FFC267"/>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63"/>
        <c:spPr>
          <a:solidFill>
            <a:srgbClr val="FF7D67"/>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64"/>
        <c:spPr>
          <a:solidFill>
            <a:schemeClr val="accent1"/>
          </a:solidFill>
          <a:ln>
            <a:noFill/>
          </a:ln>
          <a:effectLst>
            <a:outerShdw blurRad="63500" sx="102000" sy="102000" algn="ctr" rotWithShape="0">
              <a:prstClr val="black">
                <a:alpha val="20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65"/>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66"/>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67"/>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68"/>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69"/>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70"/>
        <c:spPr>
          <a:solidFill>
            <a:schemeClr val="accent1"/>
          </a:solidFill>
          <a:ln w="15875" cmpd="tri">
            <a:solidFill>
              <a:schemeClr val="tx1"/>
            </a:solidFill>
          </a:ln>
          <a:effectLst>
            <a:outerShdw blurRad="50800" dist="63500" dir="2700000" algn="tl" rotWithShape="0">
              <a:prstClr val="black">
                <a:alpha val="40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71"/>
        <c:spPr>
          <a:solidFill>
            <a:srgbClr val="99BD66"/>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72"/>
        <c:spPr>
          <a:solidFill>
            <a:srgbClr val="C1FFC1"/>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73"/>
        <c:spPr>
          <a:solidFill>
            <a:srgbClr val="FFFF66"/>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74"/>
        <c:spPr>
          <a:solidFill>
            <a:srgbClr val="FFC267"/>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75"/>
        <c:spPr>
          <a:solidFill>
            <a:srgbClr val="FF7D67"/>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76"/>
        <c:spPr>
          <a:solidFill>
            <a:schemeClr val="accent1"/>
          </a:solidFill>
          <a:ln>
            <a:noFill/>
          </a:ln>
          <a:effectLst>
            <a:outerShdw blurRad="63500" sx="102000" sy="102000" algn="ctr" rotWithShape="0">
              <a:prstClr val="black">
                <a:alpha val="20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77"/>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78"/>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79"/>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80"/>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81"/>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82"/>
        <c:spPr>
          <a:solidFill>
            <a:schemeClr val="accent1"/>
          </a:solidFill>
          <a:ln w="15875" cmpd="tri">
            <a:solidFill>
              <a:schemeClr val="tx1"/>
            </a:solidFill>
          </a:ln>
          <a:effectLst>
            <a:outerShdw blurRad="50800" dist="63500" dir="2700000" algn="tl" rotWithShape="0">
              <a:prstClr val="black">
                <a:alpha val="40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83"/>
        <c:spPr>
          <a:solidFill>
            <a:srgbClr val="99BD66"/>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84"/>
        <c:spPr>
          <a:solidFill>
            <a:srgbClr val="C1FFC1"/>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85"/>
        <c:spPr>
          <a:solidFill>
            <a:srgbClr val="FFFF66"/>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86"/>
        <c:spPr>
          <a:solidFill>
            <a:srgbClr val="FFC267"/>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87"/>
        <c:spPr>
          <a:solidFill>
            <a:srgbClr val="FF7D67"/>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88"/>
        <c:spPr>
          <a:solidFill>
            <a:schemeClr val="accent1"/>
          </a:solidFill>
          <a:ln>
            <a:noFill/>
          </a:ln>
          <a:effectLst>
            <a:outerShdw blurRad="63500" sx="102000" sy="102000" algn="ctr" rotWithShape="0">
              <a:prstClr val="black">
                <a:alpha val="20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89"/>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90"/>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91"/>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92"/>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93"/>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94"/>
        <c:spPr>
          <a:solidFill>
            <a:schemeClr val="accent1"/>
          </a:solidFill>
          <a:ln w="15875" cmpd="tri">
            <a:solidFill>
              <a:schemeClr val="tx1"/>
            </a:solidFill>
          </a:ln>
          <a:effectLst>
            <a:outerShdw blurRad="50800" dist="63500" dir="2700000" algn="tl" rotWithShape="0">
              <a:prstClr val="black">
                <a:alpha val="40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95"/>
        <c:spPr>
          <a:solidFill>
            <a:srgbClr val="99BD66"/>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96"/>
        <c:spPr>
          <a:solidFill>
            <a:srgbClr val="C1FFC1"/>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97"/>
        <c:spPr>
          <a:solidFill>
            <a:srgbClr val="FFFF66"/>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98"/>
        <c:spPr>
          <a:solidFill>
            <a:srgbClr val="FFC267"/>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99"/>
        <c:spPr>
          <a:solidFill>
            <a:srgbClr val="FF7D67"/>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100"/>
        <c:spPr>
          <a:solidFill>
            <a:schemeClr val="accent1"/>
          </a:solidFill>
          <a:ln>
            <a:noFill/>
          </a:ln>
          <a:effectLst>
            <a:outerShdw blurRad="63500" sx="102000" sy="102000" algn="ctr" rotWithShape="0">
              <a:prstClr val="black">
                <a:alpha val="20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01"/>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02"/>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03"/>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04"/>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05"/>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06"/>
        <c:spPr>
          <a:solidFill>
            <a:schemeClr val="accent1"/>
          </a:solidFill>
          <a:ln w="15875" cmpd="tri">
            <a:solidFill>
              <a:schemeClr val="tx1"/>
            </a:solidFill>
          </a:ln>
          <a:effectLst>
            <a:outerShdw blurRad="50800" dist="63500" dir="2700000" algn="tl" rotWithShape="0">
              <a:prstClr val="black">
                <a:alpha val="40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107"/>
        <c:spPr>
          <a:solidFill>
            <a:srgbClr val="99BD66"/>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108"/>
        <c:spPr>
          <a:solidFill>
            <a:srgbClr val="C1FFC1"/>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109"/>
        <c:spPr>
          <a:solidFill>
            <a:srgbClr val="FFFF66"/>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110"/>
        <c:spPr>
          <a:solidFill>
            <a:srgbClr val="FFC267"/>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111"/>
        <c:spPr>
          <a:solidFill>
            <a:srgbClr val="FF7D67"/>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112"/>
        <c:spPr>
          <a:solidFill>
            <a:schemeClr val="accent1"/>
          </a:solidFill>
          <a:ln>
            <a:noFill/>
          </a:ln>
          <a:effectLst>
            <a:outerShdw blurRad="63500" sx="102000" sy="102000" algn="ctr" rotWithShape="0">
              <a:prstClr val="black">
                <a:alpha val="20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13"/>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14"/>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15"/>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16"/>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17"/>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s>
    <c:plotArea>
      <c:layout/>
      <c:pieChart>
        <c:varyColors val="1"/>
        <c:ser>
          <c:idx val="0"/>
          <c:order val="0"/>
          <c:tx>
            <c:strRef>
              <c:f>'Statistics October'!$C$89</c:f>
              <c:strCache>
                <c:ptCount val="1"/>
                <c:pt idx="0">
                  <c:v># Authorities</c:v>
                </c:pt>
              </c:strCache>
            </c:strRef>
          </c:tx>
          <c:spPr>
            <a:ln w="15875" cmpd="tri">
              <a:solidFill>
                <a:schemeClr val="tx1"/>
              </a:solidFill>
            </a:ln>
            <a:effectLst>
              <a:outerShdw blurRad="50800" dist="63500" dir="2700000" algn="tl" rotWithShape="0">
                <a:prstClr val="black">
                  <a:alpha val="40000"/>
                </a:prstClr>
              </a:outerShdw>
            </a:effectLst>
          </c:spPr>
          <c:explosion val="3"/>
          <c:dPt>
            <c:idx val="0"/>
            <c:bubble3D val="0"/>
            <c:spPr>
              <a:solidFill>
                <a:srgbClr val="99BD66"/>
              </a:solidFill>
              <a:ln w="15875" cmpd="tri">
                <a:solidFill>
                  <a:schemeClr val="tx1"/>
                </a:solidFill>
              </a:ln>
              <a:effectLst>
                <a:outerShdw blurRad="50800" dist="63500" dir="2700000" algn="tl" rotWithShape="0">
                  <a:prstClr val="black">
                    <a:alpha val="40000"/>
                  </a:prstClr>
                </a:outerShdw>
              </a:effectLst>
            </c:spPr>
            <c:extLst>
              <c:ext xmlns:c16="http://schemas.microsoft.com/office/drawing/2014/chart" uri="{C3380CC4-5D6E-409C-BE32-E72D297353CC}">
                <c16:uniqueId val="{00000001-0E02-4BB4-BB98-D8633A7988C0}"/>
              </c:ext>
            </c:extLst>
          </c:dPt>
          <c:dPt>
            <c:idx val="1"/>
            <c:bubble3D val="0"/>
            <c:spPr>
              <a:solidFill>
                <a:srgbClr val="C1FFC1"/>
              </a:solidFill>
              <a:ln w="15875" cmpd="tri">
                <a:solidFill>
                  <a:schemeClr val="tx1"/>
                </a:solidFill>
              </a:ln>
              <a:effectLst>
                <a:outerShdw blurRad="50800" dist="63500" dir="2700000" algn="tl" rotWithShape="0">
                  <a:prstClr val="black">
                    <a:alpha val="40000"/>
                  </a:prstClr>
                </a:outerShdw>
              </a:effectLst>
            </c:spPr>
            <c:extLst>
              <c:ext xmlns:c16="http://schemas.microsoft.com/office/drawing/2014/chart" uri="{C3380CC4-5D6E-409C-BE32-E72D297353CC}">
                <c16:uniqueId val="{00000003-0E02-4BB4-BB98-D8633A7988C0}"/>
              </c:ext>
            </c:extLst>
          </c:dPt>
          <c:dPt>
            <c:idx val="2"/>
            <c:bubble3D val="0"/>
            <c:spPr>
              <a:solidFill>
                <a:srgbClr val="FFFF66"/>
              </a:solidFill>
              <a:ln w="15875" cmpd="tri">
                <a:solidFill>
                  <a:schemeClr val="tx1"/>
                </a:solidFill>
              </a:ln>
              <a:effectLst>
                <a:outerShdw blurRad="50800" dist="63500" dir="2700000" algn="tl" rotWithShape="0">
                  <a:prstClr val="black">
                    <a:alpha val="40000"/>
                  </a:prstClr>
                </a:outerShdw>
              </a:effectLst>
            </c:spPr>
            <c:extLst>
              <c:ext xmlns:c16="http://schemas.microsoft.com/office/drawing/2014/chart" uri="{C3380CC4-5D6E-409C-BE32-E72D297353CC}">
                <c16:uniqueId val="{00000005-0E02-4BB4-BB98-D8633A7988C0}"/>
              </c:ext>
            </c:extLst>
          </c:dPt>
          <c:dPt>
            <c:idx val="3"/>
            <c:bubble3D val="0"/>
            <c:spPr>
              <a:solidFill>
                <a:srgbClr val="FFC267"/>
              </a:solidFill>
              <a:ln w="15875" cmpd="tri">
                <a:solidFill>
                  <a:schemeClr val="tx1"/>
                </a:solidFill>
              </a:ln>
              <a:effectLst>
                <a:outerShdw blurRad="50800" dist="63500" dir="2700000" algn="tl" rotWithShape="0">
                  <a:prstClr val="black">
                    <a:alpha val="40000"/>
                  </a:prstClr>
                </a:outerShdw>
              </a:effectLst>
            </c:spPr>
            <c:extLst>
              <c:ext xmlns:c16="http://schemas.microsoft.com/office/drawing/2014/chart" uri="{C3380CC4-5D6E-409C-BE32-E72D297353CC}">
                <c16:uniqueId val="{00000007-0E02-4BB4-BB98-D8633A7988C0}"/>
              </c:ext>
            </c:extLst>
          </c:dPt>
          <c:dPt>
            <c:idx val="4"/>
            <c:bubble3D val="0"/>
            <c:spPr>
              <a:solidFill>
                <a:srgbClr val="FF7D67"/>
              </a:solidFill>
              <a:ln w="15875" cmpd="tri">
                <a:solidFill>
                  <a:schemeClr val="tx1"/>
                </a:solidFill>
              </a:ln>
              <a:effectLst>
                <a:outerShdw blurRad="50800" dist="63500" dir="2700000" algn="tl" rotWithShape="0">
                  <a:prstClr val="black">
                    <a:alpha val="40000"/>
                  </a:prstClr>
                </a:outerShdw>
              </a:effectLst>
            </c:spPr>
            <c:extLst>
              <c:ext xmlns:c16="http://schemas.microsoft.com/office/drawing/2014/chart" uri="{C3380CC4-5D6E-409C-BE32-E72D297353CC}">
                <c16:uniqueId val="{00000009-0E02-4BB4-BB98-D8633A7988C0}"/>
              </c:ext>
            </c:extLst>
          </c:dPt>
          <c:dLbls>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1-0E02-4BB4-BB98-D8633A7988C0}"/>
                </c:ext>
              </c:extLst>
            </c:dLbl>
            <c:dLbl>
              <c:idx val="1"/>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3-0E02-4BB4-BB98-D8633A7988C0}"/>
                </c:ext>
              </c:extLst>
            </c:dLbl>
            <c:dLbl>
              <c:idx val="2"/>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5-0E02-4BB4-BB98-D8633A7988C0}"/>
                </c:ext>
              </c:extLst>
            </c:dLbl>
            <c:dLbl>
              <c:idx val="3"/>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7-0E02-4BB4-BB98-D8633A7988C0}"/>
                </c:ext>
              </c:extLst>
            </c:dLbl>
            <c:dLbl>
              <c:idx val="4"/>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9-0E02-4BB4-BB98-D8633A7988C0}"/>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'Statistics October'!$B$90:$B$95</c:f>
              <c:strCache>
                <c:ptCount val="5"/>
                <c:pt idx="0">
                  <c:v>A</c:v>
                </c:pt>
                <c:pt idx="1">
                  <c:v>B</c:v>
                </c:pt>
                <c:pt idx="2">
                  <c:v>C</c:v>
                </c:pt>
                <c:pt idx="3">
                  <c:v>D</c:v>
                </c:pt>
                <c:pt idx="4">
                  <c:v>E</c:v>
                </c:pt>
              </c:strCache>
            </c:strRef>
          </c:cat>
          <c:val>
            <c:numRef>
              <c:f>'Statistics October'!$C$90:$C$95</c:f>
              <c:numCache>
                <c:formatCode>0</c:formatCode>
                <c:ptCount val="5"/>
                <c:pt idx="0">
                  <c:v>18</c:v>
                </c:pt>
                <c:pt idx="1">
                  <c:v>13</c:v>
                </c:pt>
                <c:pt idx="2">
                  <c:v>15</c:v>
                </c:pt>
                <c:pt idx="3">
                  <c:v>7</c:v>
                </c:pt>
                <c:pt idx="4">
                  <c:v>13</c:v>
                </c:pt>
              </c:numCache>
            </c:numRef>
          </c:val>
          <c:extLst>
            <c:ext xmlns:c16="http://schemas.microsoft.com/office/drawing/2014/chart" uri="{C3380CC4-5D6E-409C-BE32-E72D297353CC}">
              <c16:uniqueId val="{0000000A-0E02-4BB4-BB98-D8633A7988C0}"/>
            </c:ext>
          </c:extLst>
        </c:ser>
        <c:ser>
          <c:idx val="1"/>
          <c:order val="1"/>
          <c:tx>
            <c:strRef>
              <c:f>'Statistics October'!$D$89</c:f>
              <c:strCache>
                <c:ptCount val="1"/>
                <c:pt idx="0">
                  <c:v>% Authorities</c:v>
                </c:pt>
              </c:strCache>
            </c:strRef>
          </c:tx>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C-0E02-4BB4-BB98-D8633A7988C0}"/>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E-0E02-4BB4-BB98-D8633A7988C0}"/>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0-0E02-4BB4-BB98-D8633A7988C0}"/>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2-0E02-4BB4-BB98-D8633A7988C0}"/>
              </c:ext>
            </c:extLst>
          </c:dPt>
          <c:dPt>
            <c:idx val="4"/>
            <c:bubble3D val="0"/>
            <c:spPr>
              <a:solidFill>
                <a:schemeClr val="accent5"/>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4-0E02-4BB4-BB98-D8633A7988C0}"/>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0C-0E02-4BB4-BB98-D8633A7988C0}"/>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0E-0E02-4BB4-BB98-D8633A7988C0}"/>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10-0E02-4BB4-BB98-D8633A7988C0}"/>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12-0E02-4BB4-BB98-D8633A7988C0}"/>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14-0E02-4BB4-BB98-D8633A7988C0}"/>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'Statistics October'!$B$90:$B$95</c:f>
              <c:strCache>
                <c:ptCount val="5"/>
                <c:pt idx="0">
                  <c:v>A</c:v>
                </c:pt>
                <c:pt idx="1">
                  <c:v>B</c:v>
                </c:pt>
                <c:pt idx="2">
                  <c:v>C</c:v>
                </c:pt>
                <c:pt idx="3">
                  <c:v>D</c:v>
                </c:pt>
                <c:pt idx="4">
                  <c:v>E</c:v>
                </c:pt>
              </c:strCache>
            </c:strRef>
          </c:cat>
          <c:val>
            <c:numRef>
              <c:f>'Statistics October'!$D$90:$D$95</c:f>
              <c:numCache>
                <c:formatCode>0%</c:formatCode>
                <c:ptCount val="5"/>
                <c:pt idx="0">
                  <c:v>0.27272727272727271</c:v>
                </c:pt>
                <c:pt idx="1">
                  <c:v>0.19696969696969696</c:v>
                </c:pt>
                <c:pt idx="2">
                  <c:v>0.22727272727272727</c:v>
                </c:pt>
                <c:pt idx="3">
                  <c:v>0.10606060606060606</c:v>
                </c:pt>
                <c:pt idx="4">
                  <c:v>0.19696969696969696</c:v>
                </c:pt>
              </c:numCache>
            </c:numRef>
          </c:val>
          <c:extLst>
            <c:ext xmlns:c16="http://schemas.microsoft.com/office/drawing/2014/chart" uri="{C3380CC4-5D6E-409C-BE32-E72D297353CC}">
              <c16:uniqueId val="{00000015-0E02-4BB4-BB98-D8633A7988C0}"/>
            </c:ext>
          </c:extLst>
        </c:ser>
        <c:dLbls>
          <c:dLblPos val="outEnd"/>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a:outerShdw blurRad="50800" dist="127000" dir="2700000" algn="tl" rotWithShape="0">
        <a:prstClr val="black">
          <a:alpha val="40000"/>
        </a:prstClr>
      </a:outerShdw>
    </a:effectLst>
    <a:scene3d>
      <a:camera prst="orthographicFront"/>
      <a:lightRig rig="threePt" dir="t"/>
    </a:scene3d>
    <a:sp3d>
      <a:bevelT/>
    </a:sp3d>
  </c:spPr>
  <c:txPr>
    <a:bodyPr/>
    <a:lstStyle/>
    <a:p>
      <a:pPr>
        <a:defRPr/>
      </a:pPr>
      <a:endParaRPr lang="en-US"/>
    </a:p>
  </c:txPr>
  <c:externalData r:id="rId4">
    <c:autoUpdate val="0"/>
  </c:externalData>
  <c:extLst>
    <c:ext xmlns:c14="http://schemas.microsoft.com/office/drawing/2007/8/2/chart" uri="{781A3756-C4B2-4CAC-9D66-4F8BD8637D16}">
      <c14:pivotOptions>
        <c14:dropZoneFilter val="1"/>
        <c14:dropZoneData val="1"/>
        <c14:dropZoneSeries val="1"/>
      </c14:pivotOptions>
    </c:ext>
    <c:ext xmlns:c16="http://schemas.microsoft.com/office/drawing/2014/chart" uri="{E28EC0CA-F0BB-4C9C-879D-F8772B89E7AC}">
      <c16:pivotOptions16>
        <c16:showExpandCollapseFieldButtons val="1"/>
      </c16:pivotOptions16>
    </c:ext>
  </c:extLst>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0"/>
          <a:lstStyle/>
          <a:p>
            <a:pPr algn="ctr" rtl="0">
              <a:defRPr lang="en-GB" sz="1200" b="1" i="0" u="none" strike="noStrike" kern="1200" cap="none" spc="0" baseline="0">
                <a:solidFill>
                  <a:sysClr val="windowText" lastClr="000000">
                    <a:lumMod val="65000"/>
                    <a:lumOff val="35000"/>
                  </a:sysClr>
                </a:solidFill>
                <a:latin typeface="+mn-lt"/>
                <a:ea typeface="+mn-ea"/>
                <a:cs typeface="+mn-cs"/>
              </a:defRPr>
            </a:pPr>
            <a:r>
              <a:rPr lang="en-US"/>
              <a:t>Authorities'</a:t>
            </a:r>
            <a:r>
              <a:rPr lang="en-US" baseline="0"/>
              <a:t> </a:t>
            </a:r>
            <a:r>
              <a:rPr lang="en-US"/>
              <a:t>Approach to Department for Transport Statutory</a:t>
            </a:r>
            <a:r>
              <a:rPr lang="en-US" baseline="0"/>
              <a:t> Guidance</a:t>
            </a:r>
            <a:endParaRPr lang="en-US"/>
          </a:p>
        </c:rich>
      </c:tx>
      <c:overlay val="0"/>
      <c:spPr>
        <a:solidFill>
          <a:schemeClr val="bg1"/>
        </a:solidFill>
        <a:ln>
          <a:noFill/>
        </a:ln>
        <a:effectLst/>
      </c:spPr>
      <c:txPr>
        <a:bodyPr rot="0" spcFirstLastPara="1" vertOverflow="ellipsis" vert="horz" wrap="square" anchor="ctr" anchorCtr="0"/>
        <a:lstStyle/>
        <a:p>
          <a:pPr algn="ctr" rtl="0">
            <a:defRPr lang="en-GB" sz="1200" b="1" i="0" u="none" strike="noStrike" kern="1200" cap="none" spc="0" baseline="0">
              <a:solidFill>
                <a:sysClr val="windowText" lastClr="000000">
                  <a:lumMod val="65000"/>
                  <a:lumOff val="35000"/>
                </a:sysClr>
              </a:solidFill>
              <a:latin typeface="+mn-lt"/>
              <a:ea typeface="+mn-ea"/>
              <a:cs typeface="+mn-cs"/>
            </a:defRPr>
          </a:pPr>
          <a:endParaRPr lang="en-US"/>
        </a:p>
      </c:txPr>
    </c:title>
    <c:autoTitleDeleted val="0"/>
    <c:pivotFmts>
      <c:pivotFmt>
        <c:idx val="0"/>
        <c:spPr>
          <a:solidFill>
            <a:schemeClr val="accent1"/>
          </a:solidFill>
          <a:ln>
            <a:noFill/>
          </a:ln>
          <a:effectLst/>
        </c:spPr>
        <c:marker>
          <c:symbol val="none"/>
        </c:marker>
      </c:pivotFmt>
      <c:pivotFmt>
        <c:idx val="1"/>
        <c:spPr>
          <a:solidFill>
            <a:schemeClr val="accent1"/>
          </a:solidFill>
          <a:ln>
            <a:noFill/>
          </a:ln>
          <a:effectLst/>
        </c:spPr>
        <c:marker>
          <c:symbol val="none"/>
        </c:marker>
      </c:pivotFmt>
      <c:pivotFmt>
        <c:idx val="2"/>
        <c:spPr>
          <a:solidFill>
            <a:schemeClr val="accent1"/>
          </a:solidFill>
          <a:ln>
            <a:noFill/>
          </a:ln>
          <a:effectLst/>
        </c:spPr>
        <c:marker>
          <c:symbol val="none"/>
        </c:marker>
      </c:pivotFmt>
      <c:pivotFmt>
        <c:idx val="3"/>
        <c:spPr>
          <a:solidFill>
            <a:schemeClr val="accent1"/>
          </a:solidFill>
          <a:ln>
            <a:noFill/>
          </a:ln>
          <a:effectLst/>
        </c:spPr>
        <c:marker>
          <c:symbol val="none"/>
        </c:marker>
      </c:pivotFmt>
      <c:pivotFmt>
        <c:idx val="4"/>
        <c:spPr>
          <a:solidFill>
            <a:schemeClr val="accent1"/>
          </a:solidFill>
          <a:ln>
            <a:noFill/>
          </a:ln>
          <a:effectLst/>
        </c:spPr>
        <c:marker>
          <c:symbol val="none"/>
        </c:marker>
      </c:pivotFmt>
      <c:pivotFmt>
        <c:idx val="5"/>
        <c:spPr>
          <a:solidFill>
            <a:srgbClr val="7DB17A"/>
          </a:solidFill>
          <a:ln>
            <a:noFill/>
          </a:ln>
          <a:effectLst>
            <a:softEdge rad="50800"/>
          </a:effectLst>
          <a:scene3d>
            <a:camera prst="orthographicFront"/>
            <a:lightRig rig="threePt" dir="t"/>
          </a:scene3d>
          <a:sp3d>
            <a:bevelT/>
          </a:sp3d>
        </c:spPr>
        <c:marker>
          <c:symbol val="none"/>
        </c:marker>
        <c:dLbl>
          <c:idx val="0"/>
          <c:spPr>
            <a:noFill/>
            <a:ln>
              <a:noFill/>
            </a:ln>
            <a:effectLst/>
          </c:spPr>
          <c:txPr>
            <a:bodyPr rot="0" spcFirstLastPara="1" vertOverflow="overflow" horzOverflow="overflow" vert="horz" wrap="square" lIns="38100" tIns="19050" rIns="38100" bIns="19050" anchor="t" anchorCtr="1">
              <a:spAutoFit/>
            </a:bodyPr>
            <a:lstStyle/>
            <a:p>
              <a:pPr>
                <a:defRPr sz="1400" b="1" i="0" u="none" strike="noStrike" kern="1200" baseline="0">
                  <a:ln>
                    <a:noFill/>
                  </a:ln>
                  <a:solidFill>
                    <a:schemeClr val="tx1">
                      <a:lumMod val="75000"/>
                      <a:lumOff val="25000"/>
                    </a:schemeClr>
                  </a:solidFill>
                  <a:latin typeface="+mn-lt"/>
                  <a:ea typeface="+mn-ea"/>
                  <a:cs typeface="+mn-cs"/>
                </a:defRPr>
              </a:pPr>
              <a:endParaRPr lang="en-US"/>
            </a:p>
          </c:txPr>
          <c:dLblPos val="inEnd"/>
          <c:showLegendKey val="0"/>
          <c:showVal val="0"/>
          <c:showCatName val="0"/>
          <c:showSerName val="1"/>
          <c:showPercent val="0"/>
          <c:showBubbleSize val="0"/>
          <c:extLst>
            <c:ext xmlns:c15="http://schemas.microsoft.com/office/drawing/2012/chart" uri="{CE6537A1-D6FC-4f65-9D91-7224C49458BB}"/>
          </c:extLst>
        </c:dLbl>
      </c:pivotFmt>
      <c:pivotFmt>
        <c:idx val="6"/>
        <c:spPr>
          <a:solidFill>
            <a:srgbClr val="C1FFC1"/>
          </a:solidFill>
          <a:ln>
            <a:noFill/>
          </a:ln>
          <a:effectLst/>
          <a:scene3d>
            <a:camera prst="orthographicFront"/>
            <a:lightRig rig="threePt" dir="t"/>
          </a:scene3d>
          <a:sp3d>
            <a:bevel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mn-lt"/>
                  <a:ea typeface="+mn-ea"/>
                  <a:cs typeface="+mn-cs"/>
                </a:defRPr>
              </a:pPr>
              <a:endParaRPr lang="en-US"/>
            </a:p>
          </c:txPr>
          <c:dLblPos val="inEnd"/>
          <c:showLegendKey val="0"/>
          <c:showVal val="0"/>
          <c:showCatName val="0"/>
          <c:showSerName val="1"/>
          <c:showPercent val="0"/>
          <c:showBubbleSize val="0"/>
          <c:extLst>
            <c:ext xmlns:c15="http://schemas.microsoft.com/office/drawing/2012/chart" uri="{CE6537A1-D6FC-4f65-9D91-7224C49458BB}"/>
          </c:extLst>
        </c:dLbl>
      </c:pivotFmt>
      <c:pivotFmt>
        <c:idx val="7"/>
        <c:spPr>
          <a:solidFill>
            <a:srgbClr val="FFFF66"/>
          </a:solidFill>
          <a:ln>
            <a:noFill/>
          </a:ln>
          <a:effectLst/>
          <a:scene3d>
            <a:camera prst="orthographicFront"/>
            <a:lightRig rig="threePt" dir="t"/>
          </a:scene3d>
          <a:sp3d>
            <a:bevel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mn-lt"/>
                  <a:ea typeface="+mn-ea"/>
                  <a:cs typeface="+mn-cs"/>
                </a:defRPr>
              </a:pPr>
              <a:endParaRPr lang="en-US"/>
            </a:p>
          </c:txPr>
          <c:dLblPos val="inEnd"/>
          <c:showLegendKey val="0"/>
          <c:showVal val="0"/>
          <c:showCatName val="0"/>
          <c:showSerName val="1"/>
          <c:showPercent val="0"/>
          <c:showBubbleSize val="0"/>
          <c:extLst>
            <c:ext xmlns:c15="http://schemas.microsoft.com/office/drawing/2012/chart" uri="{CE6537A1-D6FC-4f65-9D91-7224C49458BB}"/>
          </c:extLst>
        </c:dLbl>
      </c:pivotFmt>
      <c:pivotFmt>
        <c:idx val="8"/>
        <c:spPr>
          <a:solidFill>
            <a:srgbClr val="FFC267"/>
          </a:solidFill>
          <a:ln>
            <a:noFill/>
          </a:ln>
          <a:effectLst/>
          <a:scene3d>
            <a:camera prst="orthographicFront"/>
            <a:lightRig rig="threePt" dir="t"/>
          </a:scene3d>
          <a:sp3d>
            <a:bevel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mn-lt"/>
                  <a:ea typeface="+mn-ea"/>
                  <a:cs typeface="+mn-cs"/>
                </a:defRPr>
              </a:pPr>
              <a:endParaRPr lang="en-US"/>
            </a:p>
          </c:txPr>
          <c:dLblPos val="inEnd"/>
          <c:showLegendKey val="0"/>
          <c:showVal val="0"/>
          <c:showCatName val="0"/>
          <c:showSerName val="1"/>
          <c:showPercent val="0"/>
          <c:showBubbleSize val="0"/>
          <c:extLst>
            <c:ext xmlns:c15="http://schemas.microsoft.com/office/drawing/2012/chart" uri="{CE6537A1-D6FC-4f65-9D91-7224C49458BB}"/>
          </c:extLst>
        </c:dLbl>
      </c:pivotFmt>
      <c:pivotFmt>
        <c:idx val="9"/>
        <c:spPr>
          <a:solidFill>
            <a:srgbClr val="FF7D67"/>
          </a:solidFill>
          <a:ln>
            <a:noFill/>
          </a:ln>
          <a:effectLst/>
          <a:scene3d>
            <a:camera prst="orthographicFront"/>
            <a:lightRig rig="threePt" dir="t"/>
          </a:scene3d>
          <a:sp3d>
            <a:bevel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mn-lt"/>
                  <a:ea typeface="+mn-ea"/>
                  <a:cs typeface="+mn-cs"/>
                </a:defRPr>
              </a:pPr>
              <a:endParaRPr lang="en-US"/>
            </a:p>
          </c:txPr>
          <c:dLblPos val="inEnd"/>
          <c:showLegendKey val="0"/>
          <c:showVal val="0"/>
          <c:showCatName val="0"/>
          <c:showSerName val="1"/>
          <c:showPercent val="0"/>
          <c:showBubbleSize val="0"/>
          <c:extLst>
            <c:ext xmlns:c15="http://schemas.microsoft.com/office/drawing/2012/chart" uri="{CE6537A1-D6FC-4f65-9D91-7224C49458BB}"/>
          </c:extLst>
        </c:dLbl>
      </c:pivotFmt>
      <c:pivotFmt>
        <c:idx val="10"/>
        <c:spPr>
          <a:solidFill>
            <a:srgbClr val="7DB17A"/>
          </a:solidFill>
          <a:ln>
            <a:noFill/>
          </a:ln>
          <a:effectLst>
            <a:softEdge rad="50800"/>
          </a:effectLst>
          <a:scene3d>
            <a:camera prst="orthographicFront"/>
            <a:lightRig rig="threePt" dir="t"/>
          </a:scene3d>
          <a:sp3d>
            <a:bevelT/>
          </a:sp3d>
        </c:spPr>
      </c:pivotFmt>
      <c:pivotFmt>
        <c:idx val="11"/>
        <c:spPr>
          <a:solidFill>
            <a:srgbClr val="7DB17A"/>
          </a:solidFill>
          <a:ln>
            <a:noFill/>
          </a:ln>
          <a:effectLst>
            <a:softEdge rad="50800"/>
          </a:effectLst>
          <a:scene3d>
            <a:camera prst="orthographicFront"/>
            <a:lightRig rig="threePt" dir="t"/>
          </a:scene3d>
          <a:sp3d>
            <a:bevelT/>
          </a:sp3d>
        </c:spPr>
      </c:pivotFmt>
      <c:pivotFmt>
        <c:idx val="12"/>
        <c:spPr>
          <a:solidFill>
            <a:srgbClr val="7DB17A"/>
          </a:solidFill>
          <a:ln>
            <a:noFill/>
          </a:ln>
          <a:effectLst>
            <a:softEdge rad="50800"/>
          </a:effectLst>
          <a:scene3d>
            <a:camera prst="orthographicFront"/>
            <a:lightRig rig="threePt" dir="t"/>
          </a:scene3d>
          <a:sp3d>
            <a:bevelT/>
          </a:sp3d>
        </c:spPr>
      </c:pivotFmt>
      <c:pivotFmt>
        <c:idx val="13"/>
        <c:spPr>
          <a:solidFill>
            <a:srgbClr val="7DB17A"/>
          </a:solidFill>
          <a:ln>
            <a:noFill/>
          </a:ln>
          <a:effectLst>
            <a:softEdge rad="50800"/>
          </a:effectLst>
          <a:scene3d>
            <a:camera prst="orthographicFront"/>
            <a:lightRig rig="threePt" dir="t"/>
          </a:scene3d>
          <a:sp3d>
            <a:bevelT/>
          </a:sp3d>
        </c:spPr>
      </c:pivotFmt>
      <c:pivotFmt>
        <c:idx val="14"/>
        <c:spPr>
          <a:solidFill>
            <a:srgbClr val="7DB17A"/>
          </a:solidFill>
          <a:ln>
            <a:noFill/>
          </a:ln>
          <a:effectLst>
            <a:softEdge rad="50800"/>
          </a:effectLst>
          <a:scene3d>
            <a:camera prst="orthographicFront"/>
            <a:lightRig rig="threePt" dir="t"/>
          </a:scene3d>
          <a:sp3d>
            <a:bevelT/>
          </a:sp3d>
        </c:spPr>
      </c:pivotFmt>
      <c:pivotFmt>
        <c:idx val="15"/>
        <c:spPr>
          <a:solidFill>
            <a:srgbClr val="7DB17A"/>
          </a:solidFill>
          <a:ln>
            <a:noFill/>
          </a:ln>
          <a:effectLst>
            <a:softEdge rad="50800"/>
          </a:effectLst>
          <a:scene3d>
            <a:camera prst="orthographicFront"/>
            <a:lightRig rig="threePt" dir="t"/>
          </a:scene3d>
          <a:sp3d>
            <a:bevelT/>
          </a:sp3d>
        </c:spPr>
      </c:pivotFmt>
      <c:pivotFmt>
        <c:idx val="16"/>
        <c:spPr>
          <a:solidFill>
            <a:srgbClr val="7DB17A"/>
          </a:solidFill>
          <a:ln>
            <a:noFill/>
          </a:ln>
          <a:effectLst>
            <a:outerShdw blurRad="50800" dist="38100" dir="2700000" algn="tl" rotWithShape="0">
              <a:prstClr val="black">
                <a:alpha val="40000"/>
              </a:prstClr>
            </a:outerShdw>
          </a:effectLst>
          <a:scene3d>
            <a:camera prst="orthographicFront"/>
            <a:lightRig rig="threePt" dir="t"/>
          </a:scene3d>
          <a:sp3d>
            <a:bevelT h="19050"/>
          </a:sp3d>
        </c:spPr>
        <c:marker>
          <c:symbol val="none"/>
        </c:marker>
        <c:dLbl>
          <c:idx val="0"/>
          <c:spPr>
            <a:noFill/>
            <a:ln>
              <a:noFill/>
            </a:ln>
            <a:effectLst/>
          </c:spPr>
          <c:txPr>
            <a:bodyPr rot="0" spcFirstLastPara="1" vertOverflow="overflow" horzOverflow="overflow" vert="horz" wrap="square" lIns="38100" tIns="19050" rIns="38100" bIns="19050" anchor="t" anchorCtr="1">
              <a:spAutoFit/>
            </a:bodyPr>
            <a:lstStyle/>
            <a:p>
              <a:pPr>
                <a:defRPr sz="1400" b="1" i="0" u="none" strike="noStrike" kern="1200" baseline="0">
                  <a:ln>
                    <a:noFill/>
                  </a:ln>
                  <a:solidFill>
                    <a:schemeClr val="tx1">
                      <a:lumMod val="75000"/>
                      <a:lumOff val="25000"/>
                    </a:schemeClr>
                  </a:solidFill>
                  <a:latin typeface="+mn-lt"/>
                  <a:ea typeface="+mn-ea"/>
                  <a:cs typeface="+mn-cs"/>
                </a:defRPr>
              </a:pPr>
              <a:endParaRPr lang="en-US"/>
            </a:p>
          </c:txPr>
          <c:dLblPos val="inEnd"/>
          <c:showLegendKey val="0"/>
          <c:showVal val="0"/>
          <c:showCatName val="0"/>
          <c:showSerName val="1"/>
          <c:showPercent val="0"/>
          <c:showBubbleSize val="0"/>
          <c:extLst>
            <c:ext xmlns:c15="http://schemas.microsoft.com/office/drawing/2012/chart" uri="{CE6537A1-D6FC-4f65-9D91-7224C49458BB}"/>
          </c:extLst>
        </c:dLbl>
      </c:pivotFmt>
      <c:pivotFmt>
        <c:idx val="17"/>
        <c:spPr>
          <a:solidFill>
            <a:srgbClr val="C1FFC1"/>
          </a:solidFill>
          <a:ln>
            <a:noFill/>
          </a:ln>
          <a:effectLst>
            <a:outerShdw blurRad="50800" dist="38100" dir="2700000" algn="tl" rotWithShape="0">
              <a:prstClr val="black">
                <a:alpha val="40000"/>
              </a:prstClr>
            </a:outerShdw>
          </a:effectLst>
          <a:scene3d>
            <a:camera prst="orthographicFront"/>
            <a:lightRig rig="threePt" dir="t"/>
          </a:scene3d>
          <a:sp3d>
            <a:bevelT h="1905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mn-lt"/>
                  <a:ea typeface="+mn-ea"/>
                  <a:cs typeface="+mn-cs"/>
                </a:defRPr>
              </a:pPr>
              <a:endParaRPr lang="en-US"/>
            </a:p>
          </c:txPr>
          <c:dLblPos val="inEnd"/>
          <c:showLegendKey val="0"/>
          <c:showVal val="0"/>
          <c:showCatName val="0"/>
          <c:showSerName val="1"/>
          <c:showPercent val="0"/>
          <c:showBubbleSize val="0"/>
          <c:extLst>
            <c:ext xmlns:c15="http://schemas.microsoft.com/office/drawing/2012/chart" uri="{CE6537A1-D6FC-4f65-9D91-7224C49458BB}"/>
          </c:extLst>
        </c:dLbl>
      </c:pivotFmt>
      <c:pivotFmt>
        <c:idx val="18"/>
        <c:spPr>
          <a:solidFill>
            <a:srgbClr val="FFFF66"/>
          </a:solidFill>
          <a:ln>
            <a:noFill/>
          </a:ln>
          <a:effectLst>
            <a:outerShdw blurRad="50800" dist="38100" dir="2700000" algn="tl" rotWithShape="0">
              <a:prstClr val="black">
                <a:alpha val="40000"/>
              </a:prstClr>
            </a:outerShdw>
          </a:effectLst>
          <a:scene3d>
            <a:camera prst="orthographicFront"/>
            <a:lightRig rig="threePt" dir="t"/>
          </a:scene3d>
          <a:sp3d>
            <a:bevelT h="1905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mn-lt"/>
                  <a:ea typeface="+mn-ea"/>
                  <a:cs typeface="+mn-cs"/>
                </a:defRPr>
              </a:pPr>
              <a:endParaRPr lang="en-US"/>
            </a:p>
          </c:txPr>
          <c:dLblPos val="inEnd"/>
          <c:showLegendKey val="0"/>
          <c:showVal val="0"/>
          <c:showCatName val="0"/>
          <c:showSerName val="1"/>
          <c:showPercent val="0"/>
          <c:showBubbleSize val="0"/>
          <c:extLst>
            <c:ext xmlns:c15="http://schemas.microsoft.com/office/drawing/2012/chart" uri="{CE6537A1-D6FC-4f65-9D91-7224C49458BB}"/>
          </c:extLst>
        </c:dLbl>
      </c:pivotFmt>
      <c:pivotFmt>
        <c:idx val="19"/>
        <c:spPr>
          <a:solidFill>
            <a:srgbClr val="FFC267"/>
          </a:solidFill>
          <a:ln>
            <a:noFill/>
          </a:ln>
          <a:effectLst>
            <a:outerShdw blurRad="50800" dist="38100" dir="2700000" algn="tl" rotWithShape="0">
              <a:prstClr val="black">
                <a:alpha val="40000"/>
              </a:prstClr>
            </a:outerShdw>
          </a:effectLst>
          <a:scene3d>
            <a:camera prst="orthographicFront"/>
            <a:lightRig rig="threePt" dir="t"/>
          </a:scene3d>
          <a:sp3d>
            <a:bevelT h="1905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mn-lt"/>
                  <a:ea typeface="+mn-ea"/>
                  <a:cs typeface="+mn-cs"/>
                </a:defRPr>
              </a:pPr>
              <a:endParaRPr lang="en-US"/>
            </a:p>
          </c:txPr>
          <c:dLblPos val="inEnd"/>
          <c:showLegendKey val="0"/>
          <c:showVal val="0"/>
          <c:showCatName val="0"/>
          <c:showSerName val="1"/>
          <c:showPercent val="0"/>
          <c:showBubbleSize val="0"/>
          <c:extLst>
            <c:ext xmlns:c15="http://schemas.microsoft.com/office/drawing/2012/chart" uri="{CE6537A1-D6FC-4f65-9D91-7224C49458BB}"/>
          </c:extLst>
        </c:dLbl>
      </c:pivotFmt>
      <c:pivotFmt>
        <c:idx val="20"/>
        <c:spPr>
          <a:solidFill>
            <a:srgbClr val="FF7D67"/>
          </a:solidFill>
          <a:ln>
            <a:noFill/>
          </a:ln>
          <a:effectLst>
            <a:outerShdw blurRad="50800" dist="38100" dir="2700000" algn="tl" rotWithShape="0">
              <a:prstClr val="black">
                <a:alpha val="40000"/>
              </a:prstClr>
            </a:outerShdw>
          </a:effectLst>
          <a:scene3d>
            <a:camera prst="orthographicFront"/>
            <a:lightRig rig="threePt" dir="t"/>
          </a:scene3d>
          <a:sp3d>
            <a:bevelT h="1905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mn-lt"/>
                  <a:ea typeface="+mn-ea"/>
                  <a:cs typeface="+mn-cs"/>
                </a:defRPr>
              </a:pPr>
              <a:endParaRPr lang="en-US"/>
            </a:p>
          </c:txPr>
          <c:dLblPos val="inEnd"/>
          <c:showLegendKey val="0"/>
          <c:showVal val="0"/>
          <c:showCatName val="0"/>
          <c:showSerName val="1"/>
          <c:showPercent val="0"/>
          <c:showBubbleSize val="0"/>
          <c:extLst>
            <c:ext xmlns:c15="http://schemas.microsoft.com/office/drawing/2012/chart" uri="{CE6537A1-D6FC-4f65-9D91-7224C49458BB}"/>
          </c:extLst>
        </c:dLbl>
      </c:pivotFmt>
      <c:pivotFmt>
        <c:idx val="21"/>
        <c:spPr>
          <a:solidFill>
            <a:srgbClr val="7DB17A"/>
          </a:solidFill>
          <a:ln>
            <a:noFill/>
          </a:ln>
          <a:effectLst>
            <a:outerShdw blurRad="50800" dist="38100" dir="2700000" algn="tl" rotWithShape="0">
              <a:prstClr val="black">
                <a:alpha val="40000"/>
              </a:prstClr>
            </a:outerShdw>
          </a:effectLst>
          <a:scene3d>
            <a:camera prst="orthographicFront"/>
            <a:lightRig rig="threePt" dir="t"/>
          </a:scene3d>
          <a:sp3d>
            <a:bevelT h="19050"/>
          </a:sp3d>
        </c:spPr>
        <c:marker>
          <c:symbol val="none"/>
        </c:marker>
        <c:dLbl>
          <c:idx val="0"/>
          <c:spPr>
            <a:noFill/>
            <a:ln>
              <a:noFill/>
            </a:ln>
            <a:effectLst/>
          </c:spPr>
          <c:txPr>
            <a:bodyPr rot="0" spcFirstLastPara="1" vertOverflow="overflow" horzOverflow="overflow" vert="horz" wrap="square" lIns="38100" tIns="19050" rIns="38100" bIns="19050" anchor="t" anchorCtr="1">
              <a:spAutoFit/>
            </a:bodyPr>
            <a:lstStyle/>
            <a:p>
              <a:pPr>
                <a:defRPr sz="1400" b="1" i="0" u="none" strike="noStrike" kern="1200" baseline="0">
                  <a:ln>
                    <a:noFill/>
                  </a:ln>
                  <a:solidFill>
                    <a:schemeClr val="tx1">
                      <a:lumMod val="75000"/>
                      <a:lumOff val="25000"/>
                    </a:schemeClr>
                  </a:solidFill>
                  <a:latin typeface="+mn-lt"/>
                  <a:ea typeface="+mn-ea"/>
                  <a:cs typeface="+mn-cs"/>
                </a:defRPr>
              </a:pPr>
              <a:endParaRPr lang="en-US"/>
            </a:p>
          </c:txPr>
          <c:dLblPos val="inEnd"/>
          <c:showLegendKey val="0"/>
          <c:showVal val="0"/>
          <c:showCatName val="0"/>
          <c:showSerName val="1"/>
          <c:showPercent val="0"/>
          <c:showBubbleSize val="0"/>
          <c:extLst>
            <c:ext xmlns:c15="http://schemas.microsoft.com/office/drawing/2012/chart" uri="{CE6537A1-D6FC-4f65-9D91-7224C49458BB}"/>
          </c:extLst>
        </c:dLbl>
      </c:pivotFmt>
      <c:pivotFmt>
        <c:idx val="22"/>
        <c:spPr>
          <a:solidFill>
            <a:srgbClr val="C1FFC1"/>
          </a:solidFill>
          <a:ln>
            <a:noFill/>
          </a:ln>
          <a:effectLst>
            <a:outerShdw blurRad="50800" dist="38100" dir="2700000" algn="tl" rotWithShape="0">
              <a:prstClr val="black">
                <a:alpha val="40000"/>
              </a:prstClr>
            </a:outerShdw>
          </a:effectLst>
          <a:scene3d>
            <a:camera prst="orthographicFront"/>
            <a:lightRig rig="threePt" dir="t"/>
          </a:scene3d>
          <a:sp3d>
            <a:bevelT h="1905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mn-lt"/>
                  <a:ea typeface="+mn-ea"/>
                  <a:cs typeface="+mn-cs"/>
                </a:defRPr>
              </a:pPr>
              <a:endParaRPr lang="en-US"/>
            </a:p>
          </c:txPr>
          <c:dLblPos val="inEnd"/>
          <c:showLegendKey val="0"/>
          <c:showVal val="0"/>
          <c:showCatName val="0"/>
          <c:showSerName val="1"/>
          <c:showPercent val="0"/>
          <c:showBubbleSize val="0"/>
          <c:extLst>
            <c:ext xmlns:c15="http://schemas.microsoft.com/office/drawing/2012/chart" uri="{CE6537A1-D6FC-4f65-9D91-7224C49458BB}"/>
          </c:extLst>
        </c:dLbl>
      </c:pivotFmt>
      <c:pivotFmt>
        <c:idx val="23"/>
        <c:spPr>
          <a:solidFill>
            <a:srgbClr val="FFFF66"/>
          </a:solidFill>
          <a:ln>
            <a:noFill/>
          </a:ln>
          <a:effectLst>
            <a:outerShdw blurRad="50800" dist="38100" dir="2700000" algn="tl" rotWithShape="0">
              <a:prstClr val="black">
                <a:alpha val="40000"/>
              </a:prstClr>
            </a:outerShdw>
          </a:effectLst>
          <a:scene3d>
            <a:camera prst="orthographicFront"/>
            <a:lightRig rig="threePt" dir="t"/>
          </a:scene3d>
          <a:sp3d>
            <a:bevelT h="1905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mn-lt"/>
                  <a:ea typeface="+mn-ea"/>
                  <a:cs typeface="+mn-cs"/>
                </a:defRPr>
              </a:pPr>
              <a:endParaRPr lang="en-US"/>
            </a:p>
          </c:txPr>
          <c:dLblPos val="inEnd"/>
          <c:showLegendKey val="0"/>
          <c:showVal val="0"/>
          <c:showCatName val="0"/>
          <c:showSerName val="1"/>
          <c:showPercent val="0"/>
          <c:showBubbleSize val="0"/>
          <c:extLst>
            <c:ext xmlns:c15="http://schemas.microsoft.com/office/drawing/2012/chart" uri="{CE6537A1-D6FC-4f65-9D91-7224C49458BB}"/>
          </c:extLst>
        </c:dLbl>
      </c:pivotFmt>
      <c:pivotFmt>
        <c:idx val="24"/>
        <c:spPr>
          <a:solidFill>
            <a:srgbClr val="FFC267"/>
          </a:solidFill>
          <a:ln>
            <a:noFill/>
          </a:ln>
          <a:effectLst>
            <a:outerShdw blurRad="50800" dist="38100" dir="2700000" algn="tl" rotWithShape="0">
              <a:prstClr val="black">
                <a:alpha val="40000"/>
              </a:prstClr>
            </a:outerShdw>
          </a:effectLst>
          <a:scene3d>
            <a:camera prst="orthographicFront"/>
            <a:lightRig rig="threePt" dir="t"/>
          </a:scene3d>
          <a:sp3d>
            <a:bevelT h="1905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mn-lt"/>
                  <a:ea typeface="+mn-ea"/>
                  <a:cs typeface="+mn-cs"/>
                </a:defRPr>
              </a:pPr>
              <a:endParaRPr lang="en-US"/>
            </a:p>
          </c:txPr>
          <c:dLblPos val="inEnd"/>
          <c:showLegendKey val="0"/>
          <c:showVal val="0"/>
          <c:showCatName val="0"/>
          <c:showSerName val="1"/>
          <c:showPercent val="0"/>
          <c:showBubbleSize val="0"/>
          <c:extLst>
            <c:ext xmlns:c15="http://schemas.microsoft.com/office/drawing/2012/chart" uri="{CE6537A1-D6FC-4f65-9D91-7224C49458BB}"/>
          </c:extLst>
        </c:dLbl>
      </c:pivotFmt>
      <c:pivotFmt>
        <c:idx val="25"/>
        <c:spPr>
          <a:solidFill>
            <a:srgbClr val="FF7D67"/>
          </a:solidFill>
          <a:ln>
            <a:noFill/>
          </a:ln>
          <a:effectLst>
            <a:outerShdw blurRad="50800" dist="38100" dir="2700000" algn="tl" rotWithShape="0">
              <a:prstClr val="black">
                <a:alpha val="40000"/>
              </a:prstClr>
            </a:outerShdw>
          </a:effectLst>
          <a:scene3d>
            <a:camera prst="orthographicFront"/>
            <a:lightRig rig="threePt" dir="t"/>
          </a:scene3d>
          <a:sp3d>
            <a:bevelT h="1905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mn-lt"/>
                  <a:ea typeface="+mn-ea"/>
                  <a:cs typeface="+mn-cs"/>
                </a:defRPr>
              </a:pPr>
              <a:endParaRPr lang="en-US"/>
            </a:p>
          </c:txPr>
          <c:dLblPos val="inEnd"/>
          <c:showLegendKey val="0"/>
          <c:showVal val="0"/>
          <c:showCatName val="0"/>
          <c:showSerName val="1"/>
          <c:showPercent val="0"/>
          <c:showBubbleSize val="0"/>
          <c:extLst>
            <c:ext xmlns:c15="http://schemas.microsoft.com/office/drawing/2012/chart" uri="{CE6537A1-D6FC-4f65-9D91-7224C49458BB}"/>
          </c:extLst>
        </c:dLbl>
      </c:pivotFmt>
      <c:pivotFmt>
        <c:idx val="26"/>
        <c:spPr>
          <a:solidFill>
            <a:srgbClr val="7DB17A"/>
          </a:solidFill>
          <a:ln>
            <a:noFill/>
          </a:ln>
          <a:effectLst>
            <a:outerShdw blurRad="50800" dist="38100" dir="2700000" algn="tl" rotWithShape="0">
              <a:prstClr val="black">
                <a:alpha val="40000"/>
              </a:prstClr>
            </a:outerShdw>
          </a:effectLst>
          <a:scene3d>
            <a:camera prst="orthographicFront"/>
            <a:lightRig rig="threePt" dir="t"/>
          </a:scene3d>
          <a:sp3d>
            <a:bevelT h="19050"/>
          </a:sp3d>
        </c:spPr>
        <c:marker>
          <c:symbol val="none"/>
        </c:marker>
        <c:dLbl>
          <c:idx val="0"/>
          <c:spPr>
            <a:noFill/>
            <a:ln>
              <a:noFill/>
            </a:ln>
            <a:effectLst/>
          </c:spPr>
          <c:txPr>
            <a:bodyPr rot="0" spcFirstLastPara="1" vertOverflow="overflow" horzOverflow="overflow" vert="horz" wrap="square" lIns="38100" tIns="19050" rIns="38100" bIns="19050" anchor="t" anchorCtr="1">
              <a:spAutoFit/>
            </a:bodyPr>
            <a:lstStyle/>
            <a:p>
              <a:pPr>
                <a:defRPr sz="1400" b="1" i="0" u="none" strike="noStrike" kern="1200" baseline="0">
                  <a:ln>
                    <a:noFill/>
                  </a:ln>
                  <a:solidFill>
                    <a:schemeClr val="tx1">
                      <a:lumMod val="75000"/>
                      <a:lumOff val="25000"/>
                    </a:schemeClr>
                  </a:solidFill>
                  <a:latin typeface="+mn-lt"/>
                  <a:ea typeface="+mn-ea"/>
                  <a:cs typeface="+mn-cs"/>
                </a:defRPr>
              </a:pPr>
              <a:endParaRPr lang="en-US"/>
            </a:p>
          </c:txPr>
          <c:dLblPos val="inEnd"/>
          <c:showLegendKey val="0"/>
          <c:showVal val="0"/>
          <c:showCatName val="0"/>
          <c:showSerName val="1"/>
          <c:showPercent val="0"/>
          <c:showBubbleSize val="0"/>
          <c:extLst>
            <c:ext xmlns:c15="http://schemas.microsoft.com/office/drawing/2012/chart" uri="{CE6537A1-D6FC-4f65-9D91-7224C49458BB}"/>
          </c:extLst>
        </c:dLbl>
      </c:pivotFmt>
      <c:pivotFmt>
        <c:idx val="27"/>
        <c:spPr>
          <a:solidFill>
            <a:srgbClr val="C1FFC1"/>
          </a:solidFill>
          <a:ln>
            <a:noFill/>
          </a:ln>
          <a:effectLst>
            <a:outerShdw blurRad="50800" dist="38100" dir="2700000" algn="tl" rotWithShape="0">
              <a:prstClr val="black">
                <a:alpha val="40000"/>
              </a:prstClr>
            </a:outerShdw>
          </a:effectLst>
          <a:scene3d>
            <a:camera prst="orthographicFront"/>
            <a:lightRig rig="threePt" dir="t"/>
          </a:scene3d>
          <a:sp3d>
            <a:bevelT h="1905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mn-lt"/>
                  <a:ea typeface="+mn-ea"/>
                  <a:cs typeface="+mn-cs"/>
                </a:defRPr>
              </a:pPr>
              <a:endParaRPr lang="en-US"/>
            </a:p>
          </c:txPr>
          <c:dLblPos val="inEnd"/>
          <c:showLegendKey val="0"/>
          <c:showVal val="0"/>
          <c:showCatName val="0"/>
          <c:showSerName val="1"/>
          <c:showPercent val="0"/>
          <c:showBubbleSize val="0"/>
          <c:extLst>
            <c:ext xmlns:c15="http://schemas.microsoft.com/office/drawing/2012/chart" uri="{CE6537A1-D6FC-4f65-9D91-7224C49458BB}"/>
          </c:extLst>
        </c:dLbl>
      </c:pivotFmt>
      <c:pivotFmt>
        <c:idx val="28"/>
        <c:spPr>
          <a:solidFill>
            <a:srgbClr val="FFFF66"/>
          </a:solidFill>
          <a:ln>
            <a:noFill/>
          </a:ln>
          <a:effectLst>
            <a:outerShdw blurRad="50800" dist="38100" dir="2700000" algn="tl" rotWithShape="0">
              <a:prstClr val="black">
                <a:alpha val="40000"/>
              </a:prstClr>
            </a:outerShdw>
          </a:effectLst>
          <a:scene3d>
            <a:camera prst="orthographicFront"/>
            <a:lightRig rig="threePt" dir="t"/>
          </a:scene3d>
          <a:sp3d>
            <a:bevelT h="1905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mn-lt"/>
                  <a:ea typeface="+mn-ea"/>
                  <a:cs typeface="+mn-cs"/>
                </a:defRPr>
              </a:pPr>
              <a:endParaRPr lang="en-US"/>
            </a:p>
          </c:txPr>
          <c:dLblPos val="inEnd"/>
          <c:showLegendKey val="0"/>
          <c:showVal val="0"/>
          <c:showCatName val="0"/>
          <c:showSerName val="1"/>
          <c:showPercent val="0"/>
          <c:showBubbleSize val="0"/>
          <c:extLst>
            <c:ext xmlns:c15="http://schemas.microsoft.com/office/drawing/2012/chart" uri="{CE6537A1-D6FC-4f65-9D91-7224C49458BB}"/>
          </c:extLst>
        </c:dLbl>
      </c:pivotFmt>
      <c:pivotFmt>
        <c:idx val="29"/>
        <c:spPr>
          <a:solidFill>
            <a:srgbClr val="FFC267"/>
          </a:solidFill>
          <a:ln>
            <a:noFill/>
          </a:ln>
          <a:effectLst>
            <a:outerShdw blurRad="50800" dist="38100" dir="2700000" algn="tl" rotWithShape="0">
              <a:prstClr val="black">
                <a:alpha val="40000"/>
              </a:prstClr>
            </a:outerShdw>
          </a:effectLst>
          <a:scene3d>
            <a:camera prst="orthographicFront"/>
            <a:lightRig rig="threePt" dir="t"/>
          </a:scene3d>
          <a:sp3d>
            <a:bevelT h="1905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mn-lt"/>
                  <a:ea typeface="+mn-ea"/>
                  <a:cs typeface="+mn-cs"/>
                </a:defRPr>
              </a:pPr>
              <a:endParaRPr lang="en-US"/>
            </a:p>
          </c:txPr>
          <c:dLblPos val="inEnd"/>
          <c:showLegendKey val="0"/>
          <c:showVal val="0"/>
          <c:showCatName val="0"/>
          <c:showSerName val="1"/>
          <c:showPercent val="0"/>
          <c:showBubbleSize val="0"/>
          <c:extLst>
            <c:ext xmlns:c15="http://schemas.microsoft.com/office/drawing/2012/chart" uri="{CE6537A1-D6FC-4f65-9D91-7224C49458BB}"/>
          </c:extLst>
        </c:dLbl>
      </c:pivotFmt>
      <c:pivotFmt>
        <c:idx val="30"/>
        <c:spPr>
          <a:solidFill>
            <a:srgbClr val="FF7D67"/>
          </a:solidFill>
          <a:ln>
            <a:noFill/>
          </a:ln>
          <a:effectLst>
            <a:outerShdw blurRad="50800" dist="38100" dir="2700000" algn="tl" rotWithShape="0">
              <a:prstClr val="black">
                <a:alpha val="40000"/>
              </a:prstClr>
            </a:outerShdw>
          </a:effectLst>
          <a:scene3d>
            <a:camera prst="orthographicFront"/>
            <a:lightRig rig="threePt" dir="t"/>
          </a:scene3d>
          <a:sp3d>
            <a:bevelT h="1905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mn-lt"/>
                  <a:ea typeface="+mn-ea"/>
                  <a:cs typeface="+mn-cs"/>
                </a:defRPr>
              </a:pPr>
              <a:endParaRPr lang="en-US"/>
            </a:p>
          </c:txPr>
          <c:dLblPos val="inEnd"/>
          <c:showLegendKey val="0"/>
          <c:showVal val="0"/>
          <c:showCatName val="0"/>
          <c:showSerName val="1"/>
          <c:showPercent val="0"/>
          <c:showBubbleSize val="0"/>
          <c:extLst>
            <c:ext xmlns:c15="http://schemas.microsoft.com/office/drawing/2012/chart" uri="{CE6537A1-D6FC-4f65-9D91-7224C49458BB}"/>
          </c:extLst>
        </c:dLbl>
      </c:pivotFmt>
    </c:pivotFmts>
    <c:plotArea>
      <c:layout>
        <c:manualLayout>
          <c:layoutTarget val="inner"/>
          <c:xMode val="edge"/>
          <c:yMode val="edge"/>
          <c:x val="5.5690992478430373E-2"/>
          <c:y val="8.6854148742479709E-2"/>
          <c:w val="0.87625020954561372"/>
          <c:h val="0.76264952718517454"/>
        </c:manualLayout>
      </c:layout>
      <c:barChart>
        <c:barDir val="col"/>
        <c:grouping val="percentStacked"/>
        <c:varyColors val="0"/>
        <c:ser>
          <c:idx val="0"/>
          <c:order val="0"/>
          <c:tx>
            <c:strRef>
              <c:f>'October calculations'!$A$424</c:f>
              <c:strCache>
                <c:ptCount val="1"/>
                <c:pt idx="0">
                  <c:v>Yes</c:v>
                </c:pt>
              </c:strCache>
            </c:strRef>
          </c:tx>
          <c:spPr>
            <a:solidFill>
              <a:srgbClr val="7DB17A"/>
            </a:solidFill>
            <a:ln>
              <a:noFill/>
            </a:ln>
            <a:effectLst>
              <a:outerShdw blurRad="50800" dist="38100" dir="2700000" algn="tl" rotWithShape="0">
                <a:prstClr val="black">
                  <a:alpha val="40000"/>
                </a:prstClr>
              </a:outerShdw>
            </a:effectLst>
            <a:scene3d>
              <a:camera prst="orthographicFront"/>
              <a:lightRig rig="threePt" dir="t"/>
            </a:scene3d>
            <a:sp3d>
              <a:bevelT h="19050"/>
            </a:sp3d>
          </c:spPr>
          <c:invertIfNegative val="0"/>
          <c:dLbls>
            <c:dLbl>
              <c:idx val="2"/>
              <c:layout>
                <c:manualLayout>
                  <c:x val="-5.0925337632079971E-17"/>
                  <c:y val="3.8932633420822398E-3"/>
                </c:manualLayout>
              </c:layout>
              <c:dLblPos val="ctr"/>
              <c:showLegendKey val="0"/>
              <c:showVal val="0"/>
              <c:showCatName val="0"/>
              <c:showSerName val="1"/>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0-7A61-43F1-9B63-7AB5533FD1FE}"/>
                </c:ext>
              </c:extLst>
            </c:dLbl>
            <c:dLbl>
              <c:idx val="8"/>
              <c:layout>
                <c:manualLayout>
                  <c:x val="1.2082766378854035E-3"/>
                  <c:y val="-3.7833104723304764E-4"/>
                </c:manualLayout>
              </c:layout>
              <c:dLblPos val="ctr"/>
              <c:showLegendKey val="0"/>
              <c:showVal val="0"/>
              <c:showCatName val="0"/>
              <c:showSerName val="1"/>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1-7A61-43F1-9B63-7AB5533FD1FE}"/>
                </c:ext>
              </c:extLst>
            </c:dLbl>
            <c:spPr>
              <a:noFill/>
              <a:ln>
                <a:noFill/>
              </a:ln>
              <a:effectLst/>
            </c:spPr>
            <c:txPr>
              <a:bodyPr rot="0" spcFirstLastPara="1" vertOverflow="overflow" horzOverflow="overflow" vert="horz" wrap="square" lIns="38100" tIns="19050" rIns="38100" bIns="19050" anchor="t" anchorCtr="1">
                <a:spAutoFit/>
              </a:bodyPr>
              <a:lstStyle/>
              <a:p>
                <a:pPr>
                  <a:defRPr sz="1400" b="1" i="0" u="none" strike="noStrike" kern="1200" baseline="0">
                    <a:ln>
                      <a:noFill/>
                    </a:ln>
                    <a:solidFill>
                      <a:schemeClr val="tx1">
                        <a:lumMod val="75000"/>
                        <a:lumOff val="25000"/>
                      </a:schemeClr>
                    </a:solidFill>
                    <a:latin typeface="+mn-lt"/>
                    <a:ea typeface="+mn-ea"/>
                    <a:cs typeface="+mn-cs"/>
                  </a:defRPr>
                </a:pPr>
                <a:endParaRPr lang="en-US"/>
              </a:p>
            </c:txPr>
            <c:dLblPos val="inEnd"/>
            <c:showLegendKey val="0"/>
            <c:showVal val="1"/>
            <c:showCatName val="0"/>
            <c:showSerName val="1"/>
            <c:showPercent val="0"/>
            <c:showBubbleSize val="0"/>
            <c:separator>
</c:separator>
            <c:showLeaderLines val="0"/>
            <c:extLst>
              <c:ext xmlns:c15="http://schemas.microsoft.com/office/drawing/2012/chart" uri="{CE6537A1-D6FC-4f65-9D91-7224C49458BB}">
                <c15:showLeaderLines val="0"/>
              </c:ext>
            </c:extLst>
          </c:dLbls>
          <c:cat>
            <c:strRef>
              <c:f>'October calculations'!$B$423:$J$423</c:f>
              <c:strCache>
                <c:ptCount val="9"/>
                <c:pt idx="0">
                  <c:v>Compliant 
List</c:v>
                </c:pt>
                <c:pt idx="1">
                  <c:v>Ref 
Wch</c:v>
                </c:pt>
                <c:pt idx="2">
                  <c:v>Chair 
Size</c:v>
                </c:pt>
                <c:pt idx="3">
                  <c:v>Driver 
Guidance</c:v>
                </c:pt>
                <c:pt idx="4">
                  <c:v>Meter 
Policy</c:v>
                </c:pt>
                <c:pt idx="5">
                  <c:v>Exemption 
GP Report</c:v>
                </c:pt>
                <c:pt idx="6">
                  <c:v>Exemption 
Medical Examiner</c:v>
                </c:pt>
                <c:pt idx="7">
                  <c:v>Exemption 
S166 Form</c:v>
                </c:pt>
                <c:pt idx="8">
                  <c:v>W/ch Transfer 
Lists</c:v>
                </c:pt>
              </c:strCache>
            </c:strRef>
          </c:cat>
          <c:val>
            <c:numRef>
              <c:f>'October calculations'!$B$424:$J$424</c:f>
              <c:numCache>
                <c:formatCode>0%</c:formatCode>
                <c:ptCount val="9"/>
                <c:pt idx="0">
                  <c:v>0.82258064516129037</c:v>
                </c:pt>
                <c:pt idx="1">
                  <c:v>0.93548387096774188</c:v>
                </c:pt>
                <c:pt idx="2">
                  <c:v>8.0645161290322578E-2</c:v>
                </c:pt>
                <c:pt idx="3">
                  <c:v>0.81147540983606559</c:v>
                </c:pt>
                <c:pt idx="4">
                  <c:v>0.42741935483870969</c:v>
                </c:pt>
                <c:pt idx="5">
                  <c:v>0.84411764705882353</c:v>
                </c:pt>
                <c:pt idx="6">
                  <c:v>0.19469026548672566</c:v>
                </c:pt>
                <c:pt idx="7">
                  <c:v>0.2756598240469208</c:v>
                </c:pt>
                <c:pt idx="8">
                  <c:v>2.6470588235294117E-2</c:v>
                </c:pt>
              </c:numCache>
            </c:numRef>
          </c:val>
          <c:extLst>
            <c:ext xmlns:c16="http://schemas.microsoft.com/office/drawing/2014/chart" uri="{C3380CC4-5D6E-409C-BE32-E72D297353CC}">
              <c16:uniqueId val="{00000002-7A61-43F1-9B63-7AB5533FD1FE}"/>
            </c:ext>
          </c:extLst>
        </c:ser>
        <c:ser>
          <c:idx val="1"/>
          <c:order val="1"/>
          <c:tx>
            <c:strRef>
              <c:f>'October calculations'!$A$425</c:f>
              <c:strCache>
                <c:ptCount val="1"/>
                <c:pt idx="0">
                  <c:v>No</c:v>
                </c:pt>
              </c:strCache>
            </c:strRef>
          </c:tx>
          <c:spPr>
            <a:solidFill>
              <a:srgbClr val="FF7D67"/>
            </a:solidFill>
            <a:ln>
              <a:noFill/>
            </a:ln>
            <a:effectLst>
              <a:outerShdw blurRad="50800" dist="38100" dir="2700000" algn="tl" rotWithShape="0">
                <a:prstClr val="black">
                  <a:alpha val="40000"/>
                </a:prstClr>
              </a:outerShdw>
            </a:effectLst>
            <a:scene3d>
              <a:camera prst="orthographicFront"/>
              <a:lightRig rig="threePt" dir="t"/>
            </a:scene3d>
            <a:sp3d>
              <a:bevelT h="19050"/>
            </a:sp3d>
          </c:spPr>
          <c:invertIfNegative val="0"/>
          <c:dLbls>
            <c:delete val="1"/>
          </c:dLbls>
          <c:cat>
            <c:strRef>
              <c:f>'October calculations'!$B$423:$J$423</c:f>
              <c:strCache>
                <c:ptCount val="9"/>
                <c:pt idx="0">
                  <c:v>Compliant 
List</c:v>
                </c:pt>
                <c:pt idx="1">
                  <c:v>Ref 
Wch</c:v>
                </c:pt>
                <c:pt idx="2">
                  <c:v>Chair 
Size</c:v>
                </c:pt>
                <c:pt idx="3">
                  <c:v>Driver 
Guidance</c:v>
                </c:pt>
                <c:pt idx="4">
                  <c:v>Meter 
Policy</c:v>
                </c:pt>
                <c:pt idx="5">
                  <c:v>Exemption 
GP Report</c:v>
                </c:pt>
                <c:pt idx="6">
                  <c:v>Exemption 
Medical Examiner</c:v>
                </c:pt>
                <c:pt idx="7">
                  <c:v>Exemption 
S166 Form</c:v>
                </c:pt>
                <c:pt idx="8">
                  <c:v>W/ch Transfer 
Lists</c:v>
                </c:pt>
              </c:strCache>
            </c:strRef>
          </c:cat>
          <c:val>
            <c:numRef>
              <c:f>'October calculations'!$B$425:$J$425</c:f>
              <c:numCache>
                <c:formatCode>0%</c:formatCode>
                <c:ptCount val="9"/>
                <c:pt idx="0">
                  <c:v>0.17741935483870969</c:v>
                </c:pt>
                <c:pt idx="1">
                  <c:v>6.4516129032258063E-2</c:v>
                </c:pt>
                <c:pt idx="2">
                  <c:v>0.91935483870967738</c:v>
                </c:pt>
                <c:pt idx="3">
                  <c:v>0.18852459016393441</c:v>
                </c:pt>
                <c:pt idx="4">
                  <c:v>0.57258064516129037</c:v>
                </c:pt>
                <c:pt idx="5">
                  <c:v>0.15588235294117647</c:v>
                </c:pt>
                <c:pt idx="6">
                  <c:v>0.80530973451327437</c:v>
                </c:pt>
                <c:pt idx="7">
                  <c:v>0.7243401759530792</c:v>
                </c:pt>
                <c:pt idx="8">
                  <c:v>0.97352941176470587</c:v>
                </c:pt>
              </c:numCache>
            </c:numRef>
          </c:val>
          <c:extLst>
            <c:ext xmlns:c16="http://schemas.microsoft.com/office/drawing/2014/chart" uri="{C3380CC4-5D6E-409C-BE32-E72D297353CC}">
              <c16:uniqueId val="{00000003-7A61-43F1-9B63-7AB5533FD1FE}"/>
            </c:ext>
          </c:extLst>
        </c:ser>
        <c:dLbls>
          <c:showLegendKey val="0"/>
          <c:showVal val="1"/>
          <c:showCatName val="0"/>
          <c:showSerName val="0"/>
          <c:showPercent val="0"/>
          <c:showBubbleSize val="0"/>
        </c:dLbls>
        <c:gapWidth val="85"/>
        <c:overlap val="100"/>
        <c:axId val="1829164016"/>
        <c:axId val="1742261216"/>
      </c:barChart>
      <c:catAx>
        <c:axId val="18291640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t" anchorCtr="0"/>
          <a:lstStyle/>
          <a:p>
            <a:pPr>
              <a:defRPr sz="1200" b="1" i="0" u="none" strike="noStrike" kern="1200" baseline="0">
                <a:solidFill>
                  <a:schemeClr val="tx1">
                    <a:lumMod val="65000"/>
                    <a:lumOff val="35000"/>
                  </a:schemeClr>
                </a:solidFill>
                <a:latin typeface="+mn-lt"/>
                <a:ea typeface="+mn-ea"/>
                <a:cs typeface="+mn-cs"/>
              </a:defRPr>
            </a:pPr>
            <a:endParaRPr lang="en-US"/>
          </a:p>
        </c:txPr>
        <c:crossAx val="1742261216"/>
        <c:crossesAt val="0"/>
        <c:auto val="0"/>
        <c:lblAlgn val="ctr"/>
        <c:lblOffset val="0"/>
        <c:noMultiLvlLbl val="0"/>
      </c:catAx>
      <c:valAx>
        <c:axId val="1742261216"/>
        <c:scaling>
          <c:orientation val="minMax"/>
        </c:scaling>
        <c:delete val="0"/>
        <c:axPos val="l"/>
        <c:majorGridlines>
          <c:spPr>
            <a:ln w="19050" cap="flat" cmpd="sng" algn="ctr">
              <a:solidFill>
                <a:schemeClr val="tx1">
                  <a:lumMod val="15000"/>
                  <a:lumOff val="85000"/>
                </a:schemeClr>
              </a:solidFill>
              <a:round/>
            </a:ln>
            <a:effectLst/>
          </c:spPr>
        </c:majorGridlines>
        <c:minorGridlines>
          <c:spPr>
            <a:ln w="28575" cap="flat" cmpd="sng" algn="ctr">
              <a:solidFill>
                <a:schemeClr val="tx1">
                  <a:lumMod val="5000"/>
                  <a:lumOff val="95000"/>
                </a:schemeClr>
              </a:solidFill>
              <a:round/>
            </a:ln>
            <a:effectLst/>
          </c:spPr>
        </c:minorGridlines>
        <c:numFmt formatCode="0%" sourceLinked="1"/>
        <c:majorTickMark val="cross"/>
        <c:minorTickMark val="in"/>
        <c:tickLblPos val="nextTo"/>
        <c:spPr>
          <a:noFill/>
          <a:ln>
            <a:solidFill>
              <a:schemeClr val="tx1">
                <a:lumMod val="15000"/>
                <a:lumOff val="85000"/>
              </a:schemeClr>
            </a:solidFill>
          </a:ln>
          <a:effectLst/>
        </c:spPr>
        <c:txPr>
          <a:bodyPr rot="0" spcFirstLastPara="1" vertOverflow="ellipsis" wrap="square" anchor="b"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1829164016"/>
        <c:crosses val="autoZero"/>
        <c:crossBetween val="between"/>
        <c:majorUnit val="0.1"/>
        <c:minorUnit val="5.000000000000001E-2"/>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a:outerShdw blurRad="50800" dist="127000" dir="2700000" algn="tl" rotWithShape="0">
        <a:prstClr val="black">
          <a:alpha val="40000"/>
        </a:prstClr>
      </a:outerShdw>
    </a:effectLst>
    <a:scene3d>
      <a:camera prst="orthographicFront"/>
      <a:lightRig rig="threePt" dir="t"/>
    </a:scene3d>
    <a:sp3d prstMaterial="matte">
      <a:bevelT/>
    </a:sp3d>
  </c:spPr>
  <c:txPr>
    <a:bodyPr/>
    <a:lstStyle/>
    <a:p>
      <a:pPr>
        <a:defRPr/>
      </a:pPr>
      <a:endParaRPr lang="en-US"/>
    </a:p>
  </c:txPr>
  <c:externalData r:id="rId4">
    <c:autoUpdate val="0"/>
  </c:externalData>
  <c:extLst/>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[Licensing authorities’ approach to the Equality Act 2010 provisions on taxi wheelchair discrimination.xlsx]Statistics October!IntentWalesOctober</c:name>
    <c:fmtId val="-1"/>
  </c:pivotSource>
  <c:chart>
    <c:title>
      <c:tx>
        <c:rich>
          <a:bodyPr rot="0" spcFirstLastPara="1" vertOverflow="ellipsis" vert="horz" wrap="square" anchor="ctr" anchorCtr="1"/>
          <a:lstStyle/>
          <a:p>
            <a:pPr algn="ctr" rtl="0">
              <a:defRPr lang="en-US" sz="1200" b="1" i="0" u="none" strike="noStrike" kern="1200" cap="none" baseline="0">
                <a:solidFill>
                  <a:sysClr val="windowText" lastClr="000000">
                    <a:lumMod val="65000"/>
                    <a:lumOff val="35000"/>
                  </a:sysClr>
                </a:solidFill>
                <a:latin typeface="+mn-lt"/>
                <a:ea typeface="+mn-ea"/>
                <a:cs typeface="+mn-cs"/>
              </a:defRPr>
            </a:pPr>
            <a:r>
              <a:rPr lang="en-US" sz="1200" b="1" i="0" u="none" strike="noStrike" kern="1200" cap="none" baseline="0">
                <a:solidFill>
                  <a:sysClr val="windowText" lastClr="000000">
                    <a:lumMod val="65000"/>
                    <a:lumOff val="35000"/>
                  </a:sysClr>
                </a:solidFill>
                <a:latin typeface="+mn-lt"/>
                <a:ea typeface="+mn-ea"/>
                <a:cs typeface="+mn-cs"/>
              </a:rPr>
              <a:t>Wales Authorities</a:t>
            </a:r>
          </a:p>
          <a:p>
            <a:pPr algn="ctr" rtl="0">
              <a:defRPr lang="en-US" sz="1200" cap="none">
                <a:solidFill>
                  <a:sysClr val="windowText" lastClr="000000">
                    <a:lumMod val="65000"/>
                    <a:lumOff val="35000"/>
                  </a:sysClr>
                </a:solidFill>
              </a:defRPr>
            </a:pPr>
            <a:r>
              <a:rPr lang="en-US" sz="1200" b="1" i="0" u="none" strike="noStrike" kern="1200" cap="none" baseline="0">
                <a:solidFill>
                  <a:sysClr val="windowText" lastClr="000000">
                    <a:lumMod val="65000"/>
                    <a:lumOff val="35000"/>
                  </a:sysClr>
                </a:solidFill>
                <a:latin typeface="+mn-lt"/>
                <a:ea typeface="+mn-ea"/>
                <a:cs typeface="+mn-cs"/>
              </a:rPr>
              <a:t>S167 Intent November 2017</a:t>
            </a:r>
          </a:p>
        </c:rich>
      </c:tx>
      <c:layout>
        <c:manualLayout>
          <c:xMode val="edge"/>
          <c:yMode val="edge"/>
          <c:x val="0.1431261770244821"/>
          <c:y val="4.6756282875511396E-2"/>
        </c:manualLayout>
      </c:layout>
      <c:overlay val="0"/>
      <c:spPr>
        <a:noFill/>
        <a:ln>
          <a:noFill/>
        </a:ln>
        <a:effectLst/>
      </c:spPr>
      <c:txPr>
        <a:bodyPr rot="0" spcFirstLastPara="1" vertOverflow="ellipsis" vert="horz" wrap="square" anchor="ctr" anchorCtr="1"/>
        <a:lstStyle/>
        <a:p>
          <a:pPr algn="ctr" rtl="0">
            <a:defRPr lang="en-US" sz="1200" b="1" i="0" u="none" strike="noStrike" kern="1200" cap="none" baseline="0">
              <a:solidFill>
                <a:sysClr val="windowText" lastClr="000000">
                  <a:lumMod val="65000"/>
                  <a:lumOff val="35000"/>
                </a:sysClr>
              </a:solidFill>
              <a:latin typeface="+mn-lt"/>
              <a:ea typeface="+mn-ea"/>
              <a:cs typeface="+mn-cs"/>
            </a:defRPr>
          </a:pPr>
          <a:endParaRPr lang="en-US"/>
        </a:p>
      </c:txPr>
    </c:title>
    <c:autoTitleDeleted val="0"/>
    <c:pivotFmts>
      <c:pivotFmt>
        <c:idx val="0"/>
        <c:spPr>
          <a:solidFill>
            <a:schemeClr val="accent1"/>
          </a:solidFill>
          <a:ln>
            <a:noFill/>
          </a:ln>
          <a:effectLst>
            <a:outerShdw blurRad="63500" sx="102000" sy="102000" algn="ctr" rotWithShape="0">
              <a:prstClr val="black">
                <a:alpha val="20000"/>
              </a:prstClr>
            </a:outerShdw>
          </a:effectLst>
        </c:spPr>
        <c:marker>
          <c:symbol val="circle"/>
          <c:size val="6"/>
        </c:marke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1"/>
        <c:spPr>
          <a:solidFill>
            <a:schemeClr val="accent1"/>
          </a:solidFill>
          <a:ln>
            <a:noFill/>
          </a:ln>
          <a:effectLst>
            <a:outerShdw blurRad="63500" sx="102000" sy="102000" algn="ctr" rotWithShape="0">
              <a:prstClr val="black">
                <a:alpha val="20000"/>
              </a:prstClr>
            </a:outerShdw>
          </a:effectLst>
        </c:spPr>
        <c:marker>
          <c:symbol val="circle"/>
          <c:size val="6"/>
        </c:marke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2"/>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15:xForSave val="1"/>
            </c:ext>
          </c:extLst>
        </c:dLbl>
      </c:pivotFmt>
      <c:pivotFmt>
        <c:idx val="3"/>
        <c:spPr>
          <a:solidFill>
            <a:schemeClr val="accent2"/>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15:xForSave val="1"/>
            </c:ext>
          </c:extLst>
        </c:dLbl>
      </c:pivotFmt>
      <c:pivotFmt>
        <c:idx val="4"/>
        <c:spPr>
          <a:solidFill>
            <a:schemeClr val="accent3"/>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15:xForSave val="1"/>
            </c:ext>
          </c:extLst>
        </c:dLbl>
      </c:pivotFmt>
      <c:pivotFmt>
        <c:idx val="5"/>
        <c:spPr>
          <a:solidFill>
            <a:schemeClr val="accent4"/>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15:xForSave val="1"/>
            </c:ext>
          </c:extLst>
        </c:dLbl>
      </c:pivotFmt>
      <c:pivotFmt>
        <c:idx val="6"/>
        <c:spPr>
          <a:solidFill>
            <a:schemeClr val="accent5"/>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15:xForSave val="1"/>
            </c:ext>
          </c:extLst>
        </c:dLbl>
      </c:pivotFmt>
      <c:pivotFmt>
        <c:idx val="7"/>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15:xForSave val="1"/>
            </c:ext>
          </c:extLst>
        </c:dLbl>
      </c:pivotFmt>
      <c:pivotFmt>
        <c:idx val="8"/>
        <c:spPr>
          <a:solidFill>
            <a:schemeClr val="accent2"/>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15:xForSave val="1"/>
            </c:ext>
          </c:extLst>
        </c:dLbl>
      </c:pivotFmt>
      <c:pivotFmt>
        <c:idx val="9"/>
        <c:spPr>
          <a:solidFill>
            <a:schemeClr val="accent3"/>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15:xForSave val="1"/>
            </c:ext>
          </c:extLst>
        </c:dLbl>
      </c:pivotFmt>
      <c:pivotFmt>
        <c:idx val="10"/>
        <c:spPr>
          <a:solidFill>
            <a:schemeClr val="accent4"/>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15:xForSave val="1"/>
            </c:ext>
          </c:extLst>
        </c:dLbl>
      </c:pivotFmt>
      <c:pivotFmt>
        <c:idx val="11"/>
        <c:spPr>
          <a:solidFill>
            <a:schemeClr val="accent5"/>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15:xForSave val="1"/>
            </c:ext>
          </c:extLst>
        </c:dLbl>
      </c:pivotFmt>
      <c:pivotFmt>
        <c:idx val="12"/>
        <c:spPr>
          <a:solidFill>
            <a:schemeClr val="accent1"/>
          </a:solidFill>
          <a:ln w="15875" cmpd="tri">
            <a:solidFill>
              <a:schemeClr val="tx1"/>
            </a:solidFill>
          </a:ln>
          <a:effectLst>
            <a:outerShdw blurRad="50800" dist="63500" dir="2700000" algn="tl" rotWithShape="0">
              <a:prstClr val="black">
                <a:alpha val="40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400" b="1" i="0" u="none" strike="noStrike" kern="1200" spc="0" baseline="0">
                  <a:solidFill>
                    <a:schemeClr val="accent1"/>
                  </a:solidFill>
                  <a:latin typeface="+mn-lt"/>
                  <a:ea typeface="+mn-ea"/>
                  <a:cs typeface="+mn-cs"/>
                </a:defRPr>
              </a:pPr>
              <a:endParaRPr lang="en-US"/>
            </a:p>
          </c:txPr>
          <c:showLegendKey val="0"/>
          <c:showVal val="0"/>
          <c:showCatName val="0"/>
          <c:showSerName val="0"/>
          <c:showPercent val="1"/>
          <c:showBubbleSize val="0"/>
          <c:separator>
</c:separator>
          <c:extLst>
            <c:ext xmlns:c15="http://schemas.microsoft.com/office/drawing/2012/chart" uri="{CE6537A1-D6FC-4f65-9D91-7224C49458BB}"/>
          </c:extLst>
        </c:dLbl>
      </c:pivotFmt>
      <c:pivotFmt>
        <c:idx val="13"/>
        <c:spPr>
          <a:solidFill>
            <a:srgbClr val="99BD66"/>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4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separator>
</c:separator>
          <c:extLst>
            <c:ext xmlns:c15="http://schemas.microsoft.com/office/drawing/2012/chart" uri="{CE6537A1-D6FC-4f65-9D91-7224C49458BB}"/>
          </c:extLst>
        </c:dLbl>
      </c:pivotFmt>
      <c:pivotFmt>
        <c:idx val="14"/>
        <c:spPr>
          <a:solidFill>
            <a:srgbClr val="C1FFC1"/>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4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separator>
</c:separator>
          <c:extLst>
            <c:ext xmlns:c15="http://schemas.microsoft.com/office/drawing/2012/chart" uri="{CE6537A1-D6FC-4f65-9D91-7224C49458BB}"/>
          </c:extLst>
        </c:dLbl>
      </c:pivotFmt>
      <c:pivotFmt>
        <c:idx val="15"/>
        <c:spPr>
          <a:solidFill>
            <a:srgbClr val="FFFF66"/>
          </a:solidFill>
          <a:ln w="15875" cmpd="tri">
            <a:solidFill>
              <a:schemeClr val="tx1"/>
            </a:solidFill>
          </a:ln>
          <a:effectLst>
            <a:outerShdw blurRad="50800" dist="63500" dir="2700000" algn="tl" rotWithShape="0">
              <a:prstClr val="black">
                <a:alpha val="40000"/>
              </a:prstClr>
            </a:outerShdw>
          </a:effectLst>
        </c:spPr>
        <c:dLbl>
          <c:idx val="0"/>
          <c:layout>
            <c:manualLayout>
              <c:x val="0.10482583349824562"/>
              <c:y val="-2.6666666666666666E-3"/>
            </c:manualLayout>
          </c:layout>
          <c:spPr>
            <a:noFill/>
            <a:ln>
              <a:noFill/>
            </a:ln>
            <a:effectLst/>
          </c:spPr>
          <c:txPr>
            <a:bodyPr rot="0" spcFirstLastPara="1" vertOverflow="ellipsis" vert="horz" wrap="square" lIns="38100" tIns="19050" rIns="38100" bIns="19050" anchor="ctr" anchorCtr="1">
              <a:spAutoFit/>
            </a:bodyPr>
            <a:lstStyle/>
            <a:p>
              <a:pPr>
                <a:defRPr sz="1400" b="1" i="0" u="none" strike="noStrike" kern="1200" spc="0" baseline="0">
                  <a:solidFill>
                    <a:schemeClr val="accent1"/>
                  </a:solidFill>
                  <a:latin typeface="+mn-lt"/>
                  <a:ea typeface="+mn-ea"/>
                  <a:cs typeface="+mn-cs"/>
                </a:defRPr>
              </a:pPr>
              <a:endParaRPr lang="en-US"/>
            </a:p>
          </c:txPr>
          <c:dLblPos val="bestFit"/>
          <c:showLegendKey val="0"/>
          <c:showVal val="0"/>
          <c:showCatName val="1"/>
          <c:showSerName val="0"/>
          <c:showPercent val="1"/>
          <c:showBubbleSize val="0"/>
          <c:separator>
</c:separator>
          <c:extLst>
            <c:ext xmlns:c15="http://schemas.microsoft.com/office/drawing/2012/chart" uri="{CE6537A1-D6FC-4f65-9D91-7224C49458BB}"/>
          </c:extLst>
        </c:dLbl>
      </c:pivotFmt>
      <c:pivotFmt>
        <c:idx val="16"/>
        <c:spPr>
          <a:solidFill>
            <a:srgbClr val="FFC267"/>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4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separator>
</c:separator>
          <c:extLst>
            <c:ext xmlns:c15="http://schemas.microsoft.com/office/drawing/2012/chart" uri="{CE6537A1-D6FC-4f65-9D91-7224C49458BB}"/>
          </c:extLst>
        </c:dLbl>
      </c:pivotFmt>
      <c:pivotFmt>
        <c:idx val="17"/>
        <c:spPr>
          <a:solidFill>
            <a:srgbClr val="FF7D67"/>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4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separator>
</c:separator>
          <c:extLst>
            <c:ext xmlns:c15="http://schemas.microsoft.com/office/drawing/2012/chart" uri="{CE6537A1-D6FC-4f65-9D91-7224C49458BB}"/>
          </c:extLst>
        </c:dLbl>
      </c:pivotFmt>
      <c:pivotFmt>
        <c:idx val="18"/>
        <c:spPr>
          <a:solidFill>
            <a:schemeClr val="accent1"/>
          </a:solidFill>
          <a:ln>
            <a:noFill/>
          </a:ln>
          <a:effectLst>
            <a:outerShdw blurRad="63500" sx="102000" sy="102000" algn="ctr" rotWithShape="0">
              <a:prstClr val="black">
                <a:alpha val="20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9"/>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20"/>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21"/>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22"/>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23"/>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24"/>
        <c:spPr>
          <a:solidFill>
            <a:schemeClr val="accent1"/>
          </a:solidFill>
          <a:ln w="15875" cmpd="tri">
            <a:solidFill>
              <a:schemeClr val="tx1"/>
            </a:solidFill>
          </a:ln>
          <a:effectLst>
            <a:outerShdw blurRad="50800" dist="63500" dir="2700000" algn="tl" rotWithShape="0">
              <a:prstClr val="black">
                <a:alpha val="40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25"/>
        <c:spPr>
          <a:solidFill>
            <a:srgbClr val="99BD66"/>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400" b="1" i="0" u="none" strike="noStrike" kern="1200" spc="0" baseline="0">
                  <a:solidFill>
                    <a:schemeClr val="tx1"/>
                  </a:solidFill>
                  <a:latin typeface="+mn-lt"/>
                  <a:ea typeface="+mn-ea"/>
                  <a:cs typeface="+mn-cs"/>
                </a:defRPr>
              </a:pPr>
              <a:endParaRPr lang="en-US"/>
            </a:p>
          </c:txPr>
          <c:dLblPos val="outEnd"/>
          <c:showLegendKey val="0"/>
          <c:showVal val="0"/>
          <c:showCatName val="0"/>
          <c:showSerName val="0"/>
          <c:showPercent val="1"/>
          <c:showBubbleSize val="0"/>
          <c:extLst>
            <c:ext xmlns:c15="http://schemas.microsoft.com/office/drawing/2012/chart" uri="{CE6537A1-D6FC-4f65-9D91-7224C49458BB}"/>
          </c:extLst>
        </c:dLbl>
      </c:pivotFmt>
      <c:pivotFmt>
        <c:idx val="26"/>
        <c:spPr>
          <a:solidFill>
            <a:srgbClr val="C1FFC1"/>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400" b="1" i="0" u="none" strike="noStrike" kern="1200" spc="0" baseline="0">
                  <a:solidFill>
                    <a:schemeClr val="tx1"/>
                  </a:solidFill>
                  <a:latin typeface="+mn-lt"/>
                  <a:ea typeface="+mn-ea"/>
                  <a:cs typeface="+mn-cs"/>
                </a:defRPr>
              </a:pPr>
              <a:endParaRPr lang="en-US"/>
            </a:p>
          </c:txPr>
          <c:dLblPos val="outEnd"/>
          <c:showLegendKey val="0"/>
          <c:showVal val="0"/>
          <c:showCatName val="0"/>
          <c:showSerName val="0"/>
          <c:showPercent val="1"/>
          <c:showBubbleSize val="0"/>
          <c:extLst>
            <c:ext xmlns:c15="http://schemas.microsoft.com/office/drawing/2012/chart" uri="{CE6537A1-D6FC-4f65-9D91-7224C49458BB}"/>
          </c:extLst>
        </c:dLbl>
      </c:pivotFmt>
      <c:pivotFmt>
        <c:idx val="27"/>
        <c:spPr>
          <a:solidFill>
            <a:srgbClr val="FFFF66"/>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400" b="1" i="0" u="none" strike="noStrike" kern="1200" spc="0" baseline="0">
                  <a:solidFill>
                    <a:schemeClr val="tx1"/>
                  </a:solidFill>
                  <a:latin typeface="+mn-lt"/>
                  <a:ea typeface="+mn-ea"/>
                  <a:cs typeface="+mn-cs"/>
                </a:defRPr>
              </a:pPr>
              <a:endParaRPr lang="en-US"/>
            </a:p>
          </c:txPr>
          <c:dLblPos val="outEnd"/>
          <c:showLegendKey val="0"/>
          <c:showVal val="0"/>
          <c:showCatName val="0"/>
          <c:showSerName val="0"/>
          <c:showPercent val="1"/>
          <c:showBubbleSize val="0"/>
          <c:extLst>
            <c:ext xmlns:c15="http://schemas.microsoft.com/office/drawing/2012/chart" uri="{CE6537A1-D6FC-4f65-9D91-7224C49458BB}"/>
          </c:extLst>
        </c:dLbl>
      </c:pivotFmt>
      <c:pivotFmt>
        <c:idx val="28"/>
        <c:spPr>
          <a:solidFill>
            <a:srgbClr val="FFC267"/>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400" b="1" i="0" u="none" strike="noStrike" kern="1200" spc="0" baseline="0">
                  <a:solidFill>
                    <a:schemeClr val="tx1"/>
                  </a:solidFill>
                  <a:latin typeface="+mn-lt"/>
                  <a:ea typeface="+mn-ea"/>
                  <a:cs typeface="+mn-cs"/>
                </a:defRPr>
              </a:pPr>
              <a:endParaRPr lang="en-US"/>
            </a:p>
          </c:txPr>
          <c:dLblPos val="outEnd"/>
          <c:showLegendKey val="0"/>
          <c:showVal val="0"/>
          <c:showCatName val="0"/>
          <c:showSerName val="0"/>
          <c:showPercent val="1"/>
          <c:showBubbleSize val="0"/>
          <c:extLst>
            <c:ext xmlns:c15="http://schemas.microsoft.com/office/drawing/2012/chart" uri="{CE6537A1-D6FC-4f65-9D91-7224C49458BB}"/>
          </c:extLst>
        </c:dLbl>
      </c:pivotFmt>
      <c:pivotFmt>
        <c:idx val="29"/>
        <c:spPr>
          <a:solidFill>
            <a:srgbClr val="FF7D67"/>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400" b="1" i="0" u="none" strike="noStrike" kern="1200" spc="0" baseline="0">
                  <a:solidFill>
                    <a:schemeClr val="tx1"/>
                  </a:solidFill>
                  <a:latin typeface="+mn-lt"/>
                  <a:ea typeface="+mn-ea"/>
                  <a:cs typeface="+mn-cs"/>
                </a:defRPr>
              </a:pPr>
              <a:endParaRPr lang="en-US"/>
            </a:p>
          </c:txPr>
          <c:dLblPos val="outEnd"/>
          <c:showLegendKey val="0"/>
          <c:showVal val="0"/>
          <c:showCatName val="0"/>
          <c:showSerName val="0"/>
          <c:showPercent val="1"/>
          <c:showBubbleSize val="0"/>
          <c:extLst>
            <c:ext xmlns:c15="http://schemas.microsoft.com/office/drawing/2012/chart" uri="{CE6537A1-D6FC-4f65-9D91-7224C49458BB}"/>
          </c:extLst>
        </c:dLbl>
      </c:pivotFmt>
      <c:pivotFmt>
        <c:idx val="30"/>
        <c:spPr>
          <a:solidFill>
            <a:schemeClr val="accent1"/>
          </a:solidFill>
          <a:ln>
            <a:noFill/>
          </a:ln>
          <a:effectLst>
            <a:outerShdw blurRad="63500" sx="102000" sy="102000" algn="ctr" rotWithShape="0">
              <a:prstClr val="black">
                <a:alpha val="20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1"/>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2"/>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3"/>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4"/>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5"/>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6"/>
        <c:spPr>
          <a:solidFill>
            <a:srgbClr val="99BD66"/>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37"/>
        <c:spPr>
          <a:solidFill>
            <a:srgbClr val="C1FFC1"/>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38"/>
        <c:spPr>
          <a:solidFill>
            <a:srgbClr val="FFFF66"/>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39"/>
        <c:spPr>
          <a:solidFill>
            <a:srgbClr val="FFC267"/>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40"/>
        <c:spPr>
          <a:solidFill>
            <a:srgbClr val="FF7D67"/>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41"/>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42"/>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43"/>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44"/>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45"/>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46"/>
        <c:spPr>
          <a:solidFill>
            <a:schemeClr val="accent1"/>
          </a:solidFill>
          <a:ln w="15875" cmpd="tri">
            <a:solidFill>
              <a:schemeClr val="tx1"/>
            </a:solidFill>
          </a:ln>
          <a:effectLst>
            <a:outerShdw blurRad="50800" dist="63500" dir="2700000" algn="tl" rotWithShape="0">
              <a:prstClr val="black">
                <a:alpha val="40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47"/>
        <c:spPr>
          <a:solidFill>
            <a:srgbClr val="99BD66"/>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48"/>
        <c:spPr>
          <a:solidFill>
            <a:srgbClr val="C1FFC1"/>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49"/>
        <c:spPr>
          <a:solidFill>
            <a:srgbClr val="FFFF66"/>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50"/>
        <c:spPr>
          <a:solidFill>
            <a:srgbClr val="FFC267"/>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51"/>
        <c:spPr>
          <a:solidFill>
            <a:srgbClr val="FF7D67"/>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52"/>
        <c:spPr>
          <a:solidFill>
            <a:schemeClr val="accent1"/>
          </a:solidFill>
          <a:ln>
            <a:noFill/>
          </a:ln>
          <a:effectLst>
            <a:outerShdw blurRad="63500" sx="102000" sy="102000" algn="ctr" rotWithShape="0">
              <a:prstClr val="black">
                <a:alpha val="20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53"/>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54"/>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55"/>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56"/>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57"/>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58"/>
        <c:spPr>
          <a:solidFill>
            <a:schemeClr val="accent1"/>
          </a:solidFill>
          <a:ln w="15875" cmpd="tri">
            <a:solidFill>
              <a:schemeClr val="tx1"/>
            </a:solidFill>
          </a:ln>
          <a:effectLst>
            <a:outerShdw blurRad="50800" dist="63500" dir="2700000" algn="tl" rotWithShape="0">
              <a:prstClr val="black">
                <a:alpha val="40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59"/>
        <c:spPr>
          <a:solidFill>
            <a:srgbClr val="99BD66"/>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60"/>
        <c:spPr>
          <a:solidFill>
            <a:srgbClr val="C1FFC1"/>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61"/>
        <c:spPr>
          <a:solidFill>
            <a:srgbClr val="FFFF66"/>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62"/>
        <c:spPr>
          <a:solidFill>
            <a:srgbClr val="FFC267"/>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63"/>
        <c:spPr>
          <a:solidFill>
            <a:srgbClr val="FF7D67"/>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64"/>
        <c:spPr>
          <a:solidFill>
            <a:schemeClr val="accent1"/>
          </a:solidFill>
          <a:ln>
            <a:noFill/>
          </a:ln>
          <a:effectLst>
            <a:outerShdw blurRad="63500" sx="102000" sy="102000" algn="ctr" rotWithShape="0">
              <a:prstClr val="black">
                <a:alpha val="20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65"/>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66"/>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67"/>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68"/>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69"/>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70"/>
        <c:spPr>
          <a:solidFill>
            <a:schemeClr val="accent1"/>
          </a:solidFill>
          <a:ln w="15875" cmpd="tri">
            <a:solidFill>
              <a:schemeClr val="tx1"/>
            </a:solidFill>
          </a:ln>
          <a:effectLst>
            <a:outerShdw blurRad="50800" dist="63500" dir="2700000" algn="tl" rotWithShape="0">
              <a:prstClr val="black">
                <a:alpha val="40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71"/>
        <c:spPr>
          <a:solidFill>
            <a:srgbClr val="99BD66"/>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72"/>
        <c:spPr>
          <a:solidFill>
            <a:srgbClr val="C1FFC1"/>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73"/>
        <c:spPr>
          <a:solidFill>
            <a:schemeClr val="accent1"/>
          </a:solidFill>
          <a:ln>
            <a:noFill/>
          </a:ln>
          <a:effectLst>
            <a:outerShdw blurRad="63500" sx="102000" sy="102000" algn="ctr" rotWithShape="0">
              <a:prstClr val="black">
                <a:alpha val="20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74"/>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75"/>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76"/>
        <c:spPr>
          <a:solidFill>
            <a:schemeClr val="accent1"/>
          </a:solidFill>
          <a:ln w="15875" cmpd="tri">
            <a:solidFill>
              <a:schemeClr val="tx1"/>
            </a:solidFill>
          </a:ln>
          <a:effectLst>
            <a:outerShdw blurRad="50800" dist="63500" dir="2700000" algn="tl" rotWithShape="0">
              <a:prstClr val="black">
                <a:alpha val="40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77"/>
        <c:spPr>
          <a:solidFill>
            <a:srgbClr val="99BD66"/>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78"/>
        <c:spPr>
          <a:solidFill>
            <a:srgbClr val="FF7D67"/>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79"/>
        <c:spPr>
          <a:solidFill>
            <a:schemeClr val="accent1"/>
          </a:solidFill>
          <a:ln>
            <a:noFill/>
          </a:ln>
          <a:effectLst>
            <a:outerShdw blurRad="63500" sx="102000" sy="102000" algn="ctr" rotWithShape="0">
              <a:prstClr val="black">
                <a:alpha val="20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80"/>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81"/>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82"/>
        <c:spPr>
          <a:solidFill>
            <a:schemeClr val="accent1"/>
          </a:solidFill>
          <a:ln w="15875" cmpd="tri">
            <a:solidFill>
              <a:schemeClr val="tx1"/>
            </a:solidFill>
          </a:ln>
          <a:effectLst>
            <a:outerShdw blurRad="50800" dist="63500" dir="2700000" algn="tl" rotWithShape="0">
              <a:prstClr val="black">
                <a:alpha val="40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83"/>
        <c:spPr>
          <a:solidFill>
            <a:srgbClr val="99BD66"/>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84"/>
        <c:spPr>
          <a:solidFill>
            <a:srgbClr val="FF7D67"/>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85"/>
        <c:spPr>
          <a:solidFill>
            <a:schemeClr val="accent1"/>
          </a:solidFill>
          <a:ln>
            <a:noFill/>
          </a:ln>
          <a:effectLst>
            <a:outerShdw blurRad="63500" sx="102000" sy="102000" algn="ctr" rotWithShape="0">
              <a:prstClr val="black">
                <a:alpha val="20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86"/>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87"/>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88"/>
        <c:spPr>
          <a:solidFill>
            <a:schemeClr val="accent1"/>
          </a:solidFill>
          <a:ln w="15875" cmpd="tri">
            <a:solidFill>
              <a:schemeClr val="tx1"/>
            </a:solidFill>
          </a:ln>
          <a:effectLst>
            <a:outerShdw blurRad="50800" dist="63500" dir="2700000" algn="tl" rotWithShape="0">
              <a:prstClr val="black">
                <a:alpha val="40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89"/>
        <c:spPr>
          <a:solidFill>
            <a:srgbClr val="99BD66"/>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90"/>
        <c:spPr>
          <a:solidFill>
            <a:srgbClr val="FF7D67"/>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91"/>
        <c:spPr>
          <a:solidFill>
            <a:schemeClr val="accent1"/>
          </a:solidFill>
          <a:ln>
            <a:noFill/>
          </a:ln>
          <a:effectLst>
            <a:outerShdw blurRad="63500" sx="102000" sy="102000" algn="ctr" rotWithShape="0">
              <a:prstClr val="black">
                <a:alpha val="20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92"/>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93"/>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94"/>
        <c:spPr>
          <a:solidFill>
            <a:schemeClr val="accent1"/>
          </a:solidFill>
          <a:ln w="15875" cmpd="tri">
            <a:solidFill>
              <a:schemeClr val="tx1"/>
            </a:solidFill>
          </a:ln>
          <a:effectLst>
            <a:outerShdw blurRad="50800" dist="63500" dir="2700000" algn="tl" rotWithShape="0">
              <a:prstClr val="black">
                <a:alpha val="40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95"/>
        <c:spPr>
          <a:solidFill>
            <a:srgbClr val="99BD66"/>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96"/>
        <c:spPr>
          <a:solidFill>
            <a:srgbClr val="FF7D67"/>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97"/>
        <c:spPr>
          <a:solidFill>
            <a:schemeClr val="accent1"/>
          </a:solidFill>
          <a:ln>
            <a:noFill/>
          </a:ln>
          <a:effectLst>
            <a:outerShdw blurRad="63500" sx="102000" sy="102000" algn="ctr" rotWithShape="0">
              <a:prstClr val="black">
                <a:alpha val="20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98"/>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99"/>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00"/>
        <c:spPr>
          <a:solidFill>
            <a:schemeClr val="accent1"/>
          </a:solidFill>
          <a:ln w="15875" cmpd="tri">
            <a:solidFill>
              <a:schemeClr val="tx1"/>
            </a:solidFill>
          </a:ln>
          <a:effectLst>
            <a:outerShdw blurRad="50800" dist="63500" dir="2700000" algn="tl" rotWithShape="0">
              <a:prstClr val="black">
                <a:alpha val="40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101"/>
        <c:spPr>
          <a:solidFill>
            <a:srgbClr val="99BD66"/>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102"/>
        <c:spPr>
          <a:solidFill>
            <a:srgbClr val="FF7D67"/>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103"/>
        <c:spPr>
          <a:solidFill>
            <a:schemeClr val="accent1"/>
          </a:solidFill>
          <a:ln>
            <a:noFill/>
          </a:ln>
          <a:effectLst>
            <a:outerShdw blurRad="63500" sx="102000" sy="102000" algn="ctr" rotWithShape="0">
              <a:prstClr val="black">
                <a:alpha val="20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04"/>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05"/>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s>
    <c:plotArea>
      <c:layout/>
      <c:pieChart>
        <c:varyColors val="1"/>
        <c:ser>
          <c:idx val="0"/>
          <c:order val="0"/>
          <c:tx>
            <c:strRef>
              <c:f>'Statistics October'!$C$79</c:f>
              <c:strCache>
                <c:ptCount val="1"/>
                <c:pt idx="0">
                  <c:v># Authorities</c:v>
                </c:pt>
              </c:strCache>
            </c:strRef>
          </c:tx>
          <c:spPr>
            <a:ln w="15875" cmpd="tri">
              <a:solidFill>
                <a:schemeClr val="tx1"/>
              </a:solidFill>
            </a:ln>
            <a:effectLst>
              <a:outerShdw blurRad="50800" dist="63500" dir="2700000" algn="tl" rotWithShape="0">
                <a:prstClr val="black">
                  <a:alpha val="40000"/>
                </a:prstClr>
              </a:outerShdw>
            </a:effectLst>
          </c:spPr>
          <c:explosion val="3"/>
          <c:dPt>
            <c:idx val="0"/>
            <c:bubble3D val="0"/>
            <c:spPr>
              <a:solidFill>
                <a:srgbClr val="99BD66"/>
              </a:solidFill>
              <a:ln w="15875" cmpd="tri">
                <a:solidFill>
                  <a:schemeClr val="tx1"/>
                </a:solidFill>
              </a:ln>
              <a:effectLst>
                <a:outerShdw blurRad="50800" dist="63500" dir="2700000" algn="tl" rotWithShape="0">
                  <a:prstClr val="black">
                    <a:alpha val="40000"/>
                  </a:prstClr>
                </a:outerShdw>
              </a:effectLst>
            </c:spPr>
            <c:extLst>
              <c:ext xmlns:c16="http://schemas.microsoft.com/office/drawing/2014/chart" uri="{C3380CC4-5D6E-409C-BE32-E72D297353CC}">
                <c16:uniqueId val="{00000001-55D4-4415-918F-25A1B7127B50}"/>
              </c:ext>
            </c:extLst>
          </c:dPt>
          <c:dPt>
            <c:idx val="1"/>
            <c:bubble3D val="0"/>
            <c:spPr>
              <a:solidFill>
                <a:srgbClr val="FF7D67"/>
              </a:solidFill>
              <a:ln w="15875" cmpd="tri">
                <a:solidFill>
                  <a:schemeClr val="tx1"/>
                </a:solidFill>
              </a:ln>
              <a:effectLst>
                <a:outerShdw blurRad="50800" dist="63500" dir="2700000" algn="tl" rotWithShape="0">
                  <a:prstClr val="black">
                    <a:alpha val="40000"/>
                  </a:prstClr>
                </a:outerShdw>
              </a:effectLst>
            </c:spPr>
            <c:extLst>
              <c:ext xmlns:c16="http://schemas.microsoft.com/office/drawing/2014/chart" uri="{C3380CC4-5D6E-409C-BE32-E72D297353CC}">
                <c16:uniqueId val="{00000003-55D4-4415-918F-25A1B7127B50}"/>
              </c:ext>
            </c:extLst>
          </c:dPt>
          <c:dPt>
            <c:idx val="2"/>
            <c:bubble3D val="0"/>
            <c:spPr>
              <a:solidFill>
                <a:schemeClr val="accent3"/>
              </a:solidFill>
              <a:ln w="15875" cmpd="tri">
                <a:solidFill>
                  <a:schemeClr val="tx1"/>
                </a:solidFill>
              </a:ln>
              <a:effectLst>
                <a:outerShdw blurRad="50800" dist="63500" dir="2700000" algn="tl" rotWithShape="0">
                  <a:prstClr val="black">
                    <a:alpha val="40000"/>
                  </a:prstClr>
                </a:outerShdw>
              </a:effectLst>
            </c:spPr>
            <c:extLst>
              <c:ext xmlns:c16="http://schemas.microsoft.com/office/drawing/2014/chart" uri="{C3380CC4-5D6E-409C-BE32-E72D297353CC}">
                <c16:uniqueId val="{00000005-55D4-4415-918F-25A1B7127B50}"/>
              </c:ext>
            </c:extLst>
          </c:dPt>
          <c:dPt>
            <c:idx val="3"/>
            <c:bubble3D val="0"/>
            <c:spPr>
              <a:solidFill>
                <a:schemeClr val="accent4"/>
              </a:solidFill>
              <a:ln w="15875" cmpd="tri">
                <a:solidFill>
                  <a:schemeClr val="tx1"/>
                </a:solidFill>
              </a:ln>
              <a:effectLst>
                <a:outerShdw blurRad="50800" dist="63500" dir="2700000" algn="tl" rotWithShape="0">
                  <a:prstClr val="black">
                    <a:alpha val="40000"/>
                  </a:prstClr>
                </a:outerShdw>
              </a:effectLst>
            </c:spPr>
            <c:extLst>
              <c:ext xmlns:c16="http://schemas.microsoft.com/office/drawing/2014/chart" uri="{C3380CC4-5D6E-409C-BE32-E72D297353CC}">
                <c16:uniqueId val="{00000007-55D4-4415-918F-25A1B7127B50}"/>
              </c:ext>
            </c:extLst>
          </c:dPt>
          <c:dPt>
            <c:idx val="4"/>
            <c:bubble3D val="0"/>
            <c:spPr>
              <a:solidFill>
                <a:schemeClr val="accent5"/>
              </a:solidFill>
              <a:ln w="15875" cmpd="tri">
                <a:solidFill>
                  <a:schemeClr val="tx1"/>
                </a:solidFill>
              </a:ln>
              <a:effectLst>
                <a:outerShdw blurRad="50800" dist="63500" dir="2700000" algn="tl" rotWithShape="0">
                  <a:prstClr val="black">
                    <a:alpha val="40000"/>
                  </a:prstClr>
                </a:outerShdw>
              </a:effectLst>
            </c:spPr>
            <c:extLst>
              <c:ext xmlns:c16="http://schemas.microsoft.com/office/drawing/2014/chart" uri="{C3380CC4-5D6E-409C-BE32-E72D297353CC}">
                <c16:uniqueId val="{00000009-55D4-4415-918F-25A1B7127B50}"/>
              </c:ext>
            </c:extLst>
          </c:dPt>
          <c:dLbls>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15:layout>
                    <c:manualLayout>
                      <c:w val="0.22674199623352162"/>
                      <c:h val="0.27440093512565744"/>
                    </c:manualLayout>
                  </c15:layout>
                </c:ext>
                <c:ext xmlns:c16="http://schemas.microsoft.com/office/drawing/2014/chart" uri="{C3380CC4-5D6E-409C-BE32-E72D297353CC}">
                  <c16:uniqueId val="{00000001-55D4-4415-918F-25A1B7127B50}"/>
                </c:ext>
              </c:extLst>
            </c:dLbl>
            <c:dLbl>
              <c:idx val="1"/>
              <c:layout>
                <c:manualLayout>
                  <c:x val="0"/>
                  <c:y val="2.9222906897011923E-2"/>
                </c:manualLayout>
              </c:layout>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layout>
                    <c:manualLayout>
                      <c:w val="0.27386034372822043"/>
                      <c:h val="0.27440093512565744"/>
                    </c:manualLayout>
                  </c15:layout>
                </c:ext>
                <c:ext xmlns:c16="http://schemas.microsoft.com/office/drawing/2014/chart" uri="{C3380CC4-5D6E-409C-BE32-E72D297353CC}">
                  <c16:uniqueId val="{00000003-55D4-4415-918F-25A1B7127B50}"/>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showLeaderLines val="0"/>
            <c:extLst>
              <c:ext xmlns:c15="http://schemas.microsoft.com/office/drawing/2012/chart" uri="{CE6537A1-D6FC-4f65-9D91-7224C49458BB}"/>
            </c:extLst>
          </c:dLbls>
          <c:cat>
            <c:strRef>
              <c:f>'Statistics October'!$B$80:$B$82</c:f>
              <c:strCache>
                <c:ptCount val="2"/>
                <c:pt idx="0">
                  <c:v>Yes</c:v>
                </c:pt>
                <c:pt idx="1">
                  <c:v>No</c:v>
                </c:pt>
              </c:strCache>
            </c:strRef>
          </c:cat>
          <c:val>
            <c:numRef>
              <c:f>'Statistics October'!$C$80:$C$82</c:f>
              <c:numCache>
                <c:formatCode>0</c:formatCode>
                <c:ptCount val="2"/>
                <c:pt idx="0">
                  <c:v>16</c:v>
                </c:pt>
                <c:pt idx="1">
                  <c:v>6</c:v>
                </c:pt>
              </c:numCache>
            </c:numRef>
          </c:val>
          <c:extLst>
            <c:ext xmlns:c16="http://schemas.microsoft.com/office/drawing/2014/chart" uri="{C3380CC4-5D6E-409C-BE32-E72D297353CC}">
              <c16:uniqueId val="{0000000A-55D4-4415-918F-25A1B7127B50}"/>
            </c:ext>
          </c:extLst>
        </c:ser>
        <c:ser>
          <c:idx val="1"/>
          <c:order val="1"/>
          <c:tx>
            <c:strRef>
              <c:f>'Statistics October'!$D$79</c:f>
              <c:strCache>
                <c:ptCount val="1"/>
                <c:pt idx="0">
                  <c:v>% Authorities</c:v>
                </c:pt>
              </c:strCache>
            </c:strRef>
          </c:tx>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C-55D4-4415-918F-25A1B7127B50}"/>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E-55D4-4415-918F-25A1B7127B50}"/>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0-55D4-4415-918F-25A1B7127B50}"/>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2-55D4-4415-918F-25A1B7127B50}"/>
              </c:ext>
            </c:extLst>
          </c:dPt>
          <c:dPt>
            <c:idx val="4"/>
            <c:bubble3D val="0"/>
            <c:spPr>
              <a:solidFill>
                <a:schemeClr val="accent5"/>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4-55D4-4415-918F-25A1B7127B50}"/>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0C-55D4-4415-918F-25A1B7127B50}"/>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0E-55D4-4415-918F-25A1B7127B50}"/>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'Statistics October'!$B$80:$B$82</c:f>
              <c:strCache>
                <c:ptCount val="2"/>
                <c:pt idx="0">
                  <c:v>Yes</c:v>
                </c:pt>
                <c:pt idx="1">
                  <c:v>No</c:v>
                </c:pt>
              </c:strCache>
            </c:strRef>
          </c:cat>
          <c:val>
            <c:numRef>
              <c:f>'Statistics October'!$D$80:$D$82</c:f>
              <c:numCache>
                <c:formatCode>0%</c:formatCode>
                <c:ptCount val="2"/>
                <c:pt idx="0">
                  <c:v>0.72727272727272729</c:v>
                </c:pt>
                <c:pt idx="1">
                  <c:v>0.27272727272727271</c:v>
                </c:pt>
              </c:numCache>
            </c:numRef>
          </c:val>
          <c:extLst>
            <c:ext xmlns:c16="http://schemas.microsoft.com/office/drawing/2014/chart" uri="{C3380CC4-5D6E-409C-BE32-E72D297353CC}">
              <c16:uniqueId val="{00000015-55D4-4415-918F-25A1B7127B50}"/>
            </c:ext>
          </c:extLst>
        </c:ser>
        <c:dLbls>
          <c:dLblPos val="outEnd"/>
          <c:showLegendKey val="0"/>
          <c:showVal val="1"/>
          <c:showCatName val="0"/>
          <c:showSerName val="0"/>
          <c:showPercent val="0"/>
          <c:showBubbleSize val="0"/>
          <c:showLeaderLines val="0"/>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a:outerShdw blurRad="50800" dist="127000" dir="2700000" algn="tl" rotWithShape="0">
        <a:prstClr val="black">
          <a:alpha val="40000"/>
        </a:prstClr>
      </a:outerShdw>
    </a:effectLst>
    <a:scene3d>
      <a:camera prst="orthographicFront"/>
      <a:lightRig rig="threePt" dir="t"/>
    </a:scene3d>
    <a:sp3d>
      <a:bevelT/>
    </a:sp3d>
  </c:spPr>
  <c:txPr>
    <a:bodyPr/>
    <a:lstStyle/>
    <a:p>
      <a:pPr>
        <a:defRPr/>
      </a:pPr>
      <a:endParaRPr lang="en-US"/>
    </a:p>
  </c:txPr>
  <c:externalData r:id="rId4">
    <c:autoUpdate val="0"/>
  </c:externalData>
  <c:extLst>
    <c:ext xmlns:c14="http://schemas.microsoft.com/office/drawing/2007/8/2/chart" uri="{781A3756-C4B2-4CAC-9D66-4F8BD8637D16}">
      <c14:pivotOptions>
        <c14:dropZoneFilter val="1"/>
        <c14:dropZoneData val="1"/>
        <c14:dropZoneSeries val="1"/>
      </c14:pivotOptions>
    </c:ext>
    <c:ext xmlns:c16="http://schemas.microsoft.com/office/drawing/2014/chart" uri="{E28EC0CA-F0BB-4C9C-879D-F8772B89E7AC}">
      <c16:pivotOptions16>
        <c16:showExpandCollapseFieldButtons val="1"/>
      </c16:pivotOptions16>
    </c:ext>
  </c:extLst>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[Licensing authorities’ approach to the Equality Act 2010 provisions on taxi wheelchair discrimination.xlsx]Statistics October!IntentScotOct</c:name>
    <c:fmtId val="-1"/>
  </c:pivotSource>
  <c:chart>
    <c:title>
      <c:tx>
        <c:rich>
          <a:bodyPr rot="0" spcFirstLastPara="1" vertOverflow="ellipsis" vert="horz" wrap="square" anchor="ctr" anchorCtr="1"/>
          <a:lstStyle/>
          <a:p>
            <a:pPr algn="ctr" rtl="0">
              <a:defRPr lang="en-US" sz="1200" b="1" i="0" u="none" strike="noStrike" kern="1200" cap="none" baseline="0">
                <a:solidFill>
                  <a:sysClr val="windowText" lastClr="000000">
                    <a:lumMod val="65000"/>
                    <a:lumOff val="35000"/>
                  </a:sysClr>
                </a:solidFill>
                <a:latin typeface="+mn-lt"/>
                <a:ea typeface="+mn-ea"/>
                <a:cs typeface="+mn-cs"/>
              </a:defRPr>
            </a:pPr>
            <a:r>
              <a:rPr lang="en-US" sz="1200" b="1" i="0" u="none" strike="noStrike" kern="1200" cap="none" baseline="0">
                <a:solidFill>
                  <a:sysClr val="windowText" lastClr="000000">
                    <a:lumMod val="65000"/>
                    <a:lumOff val="35000"/>
                  </a:sysClr>
                </a:solidFill>
                <a:latin typeface="+mn-lt"/>
                <a:ea typeface="+mn-ea"/>
                <a:cs typeface="+mn-cs"/>
              </a:rPr>
              <a:t>Scotland Authorities</a:t>
            </a:r>
          </a:p>
          <a:p>
            <a:pPr algn="ctr" rtl="0">
              <a:defRPr lang="en-US" sz="1200" cap="none">
                <a:solidFill>
                  <a:sysClr val="windowText" lastClr="000000">
                    <a:lumMod val="65000"/>
                    <a:lumOff val="35000"/>
                  </a:sysClr>
                </a:solidFill>
              </a:defRPr>
            </a:pPr>
            <a:r>
              <a:rPr lang="en-US" sz="1200" b="1" i="0" u="none" strike="noStrike" kern="1200" cap="none" baseline="0">
                <a:solidFill>
                  <a:sysClr val="windowText" lastClr="000000">
                    <a:lumMod val="65000"/>
                    <a:lumOff val="35000"/>
                  </a:sysClr>
                </a:solidFill>
                <a:latin typeface="+mn-lt"/>
                <a:ea typeface="+mn-ea"/>
                <a:cs typeface="+mn-cs"/>
              </a:rPr>
              <a:t>S167 Intent November 2017</a:t>
            </a:r>
          </a:p>
        </c:rich>
      </c:tx>
      <c:overlay val="0"/>
      <c:spPr>
        <a:noFill/>
        <a:ln>
          <a:noFill/>
        </a:ln>
        <a:effectLst/>
      </c:spPr>
      <c:txPr>
        <a:bodyPr rot="0" spcFirstLastPara="1" vertOverflow="ellipsis" vert="horz" wrap="square" anchor="ctr" anchorCtr="1"/>
        <a:lstStyle/>
        <a:p>
          <a:pPr algn="ctr" rtl="0">
            <a:defRPr lang="en-US" sz="1200" b="1" i="0" u="none" strike="noStrike" kern="1200" cap="none" baseline="0">
              <a:solidFill>
                <a:sysClr val="windowText" lastClr="000000">
                  <a:lumMod val="65000"/>
                  <a:lumOff val="35000"/>
                </a:sysClr>
              </a:solidFill>
              <a:latin typeface="+mn-lt"/>
              <a:ea typeface="+mn-ea"/>
              <a:cs typeface="+mn-cs"/>
            </a:defRPr>
          </a:pPr>
          <a:endParaRPr lang="en-US"/>
        </a:p>
      </c:txPr>
    </c:title>
    <c:autoTitleDeleted val="0"/>
    <c:pivotFmts>
      <c:pivotFmt>
        <c:idx val="0"/>
        <c:spPr>
          <a:solidFill>
            <a:schemeClr val="accent1"/>
          </a:solidFill>
          <a:ln>
            <a:noFill/>
          </a:ln>
          <a:effectLst>
            <a:outerShdw blurRad="63500" sx="102000" sy="102000" algn="ctr" rotWithShape="0">
              <a:prstClr val="black">
                <a:alpha val="20000"/>
              </a:prstClr>
            </a:outerShdw>
          </a:effectLst>
        </c:spPr>
        <c:marker>
          <c:symbol val="circle"/>
          <c:size val="6"/>
        </c:marke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1"/>
        <c:spPr>
          <a:solidFill>
            <a:schemeClr val="accent1"/>
          </a:solidFill>
          <a:ln>
            <a:noFill/>
          </a:ln>
          <a:effectLst>
            <a:outerShdw blurRad="63500" sx="102000" sy="102000" algn="ctr" rotWithShape="0">
              <a:prstClr val="black">
                <a:alpha val="20000"/>
              </a:prstClr>
            </a:outerShdw>
          </a:effectLst>
        </c:spPr>
        <c:marker>
          <c:symbol val="circle"/>
          <c:size val="6"/>
        </c:marke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2"/>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15:xForSave val="1"/>
            </c:ext>
          </c:extLst>
        </c:dLbl>
      </c:pivotFmt>
      <c:pivotFmt>
        <c:idx val="3"/>
        <c:spPr>
          <a:solidFill>
            <a:schemeClr val="accent2"/>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15:xForSave val="1"/>
            </c:ext>
          </c:extLst>
        </c:dLbl>
      </c:pivotFmt>
      <c:pivotFmt>
        <c:idx val="4"/>
        <c:spPr>
          <a:solidFill>
            <a:schemeClr val="accent3"/>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15:xForSave val="1"/>
            </c:ext>
          </c:extLst>
        </c:dLbl>
      </c:pivotFmt>
      <c:pivotFmt>
        <c:idx val="5"/>
        <c:spPr>
          <a:solidFill>
            <a:schemeClr val="accent4"/>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15:xForSave val="1"/>
            </c:ext>
          </c:extLst>
        </c:dLbl>
      </c:pivotFmt>
      <c:pivotFmt>
        <c:idx val="6"/>
        <c:spPr>
          <a:solidFill>
            <a:schemeClr val="accent5"/>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15:xForSave val="1"/>
            </c:ext>
          </c:extLst>
        </c:dLbl>
      </c:pivotFmt>
      <c:pivotFmt>
        <c:idx val="7"/>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15:xForSave val="1"/>
            </c:ext>
          </c:extLst>
        </c:dLbl>
      </c:pivotFmt>
      <c:pivotFmt>
        <c:idx val="8"/>
        <c:spPr>
          <a:solidFill>
            <a:schemeClr val="accent2"/>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15:xForSave val="1"/>
            </c:ext>
          </c:extLst>
        </c:dLbl>
      </c:pivotFmt>
      <c:pivotFmt>
        <c:idx val="9"/>
        <c:spPr>
          <a:solidFill>
            <a:schemeClr val="accent3"/>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15:xForSave val="1"/>
            </c:ext>
          </c:extLst>
        </c:dLbl>
      </c:pivotFmt>
      <c:pivotFmt>
        <c:idx val="10"/>
        <c:spPr>
          <a:solidFill>
            <a:schemeClr val="accent4"/>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15:xForSave val="1"/>
            </c:ext>
          </c:extLst>
        </c:dLbl>
      </c:pivotFmt>
      <c:pivotFmt>
        <c:idx val="11"/>
        <c:spPr>
          <a:solidFill>
            <a:schemeClr val="accent5"/>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15:xForSave val="1"/>
            </c:ext>
          </c:extLst>
        </c:dLbl>
      </c:pivotFmt>
      <c:pivotFmt>
        <c:idx val="12"/>
        <c:spPr>
          <a:solidFill>
            <a:schemeClr val="accent1"/>
          </a:solidFill>
          <a:ln w="15875" cmpd="tri">
            <a:solidFill>
              <a:schemeClr val="tx1"/>
            </a:solidFill>
          </a:ln>
          <a:effectLst>
            <a:outerShdw blurRad="50800" dist="63500" dir="2700000" algn="tl" rotWithShape="0">
              <a:prstClr val="black">
                <a:alpha val="40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400" b="1" i="0" u="none" strike="noStrike" kern="1200" spc="0" baseline="0">
                  <a:solidFill>
                    <a:schemeClr val="accent1"/>
                  </a:solidFill>
                  <a:latin typeface="+mn-lt"/>
                  <a:ea typeface="+mn-ea"/>
                  <a:cs typeface="+mn-cs"/>
                </a:defRPr>
              </a:pPr>
              <a:endParaRPr lang="en-US"/>
            </a:p>
          </c:txPr>
          <c:showLegendKey val="0"/>
          <c:showVal val="0"/>
          <c:showCatName val="0"/>
          <c:showSerName val="0"/>
          <c:showPercent val="1"/>
          <c:showBubbleSize val="0"/>
          <c:separator>
</c:separator>
          <c:extLst>
            <c:ext xmlns:c15="http://schemas.microsoft.com/office/drawing/2012/chart" uri="{CE6537A1-D6FC-4f65-9D91-7224C49458BB}"/>
          </c:extLst>
        </c:dLbl>
      </c:pivotFmt>
      <c:pivotFmt>
        <c:idx val="13"/>
        <c:spPr>
          <a:solidFill>
            <a:srgbClr val="99BD66"/>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4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separator>
</c:separator>
          <c:extLst>
            <c:ext xmlns:c15="http://schemas.microsoft.com/office/drawing/2012/chart" uri="{CE6537A1-D6FC-4f65-9D91-7224C49458BB}"/>
          </c:extLst>
        </c:dLbl>
      </c:pivotFmt>
      <c:pivotFmt>
        <c:idx val="14"/>
        <c:spPr>
          <a:solidFill>
            <a:srgbClr val="C1FFC1"/>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4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separator>
</c:separator>
          <c:extLst>
            <c:ext xmlns:c15="http://schemas.microsoft.com/office/drawing/2012/chart" uri="{CE6537A1-D6FC-4f65-9D91-7224C49458BB}"/>
          </c:extLst>
        </c:dLbl>
      </c:pivotFmt>
      <c:pivotFmt>
        <c:idx val="15"/>
        <c:spPr>
          <a:solidFill>
            <a:srgbClr val="FFFF66"/>
          </a:solidFill>
          <a:ln w="15875" cmpd="tri">
            <a:solidFill>
              <a:schemeClr val="tx1"/>
            </a:solidFill>
          </a:ln>
          <a:effectLst>
            <a:outerShdw blurRad="50800" dist="63500" dir="2700000" algn="tl" rotWithShape="0">
              <a:prstClr val="black">
                <a:alpha val="40000"/>
              </a:prstClr>
            </a:outerShdw>
          </a:effectLst>
        </c:spPr>
        <c:dLbl>
          <c:idx val="0"/>
          <c:layout>
            <c:manualLayout>
              <c:x val="0.10482583349824562"/>
              <c:y val="-2.6666666666666666E-3"/>
            </c:manualLayout>
          </c:layout>
          <c:spPr>
            <a:noFill/>
            <a:ln>
              <a:noFill/>
            </a:ln>
            <a:effectLst/>
          </c:spPr>
          <c:txPr>
            <a:bodyPr rot="0" spcFirstLastPara="1" vertOverflow="ellipsis" vert="horz" wrap="square" lIns="38100" tIns="19050" rIns="38100" bIns="19050" anchor="ctr" anchorCtr="1">
              <a:spAutoFit/>
            </a:bodyPr>
            <a:lstStyle/>
            <a:p>
              <a:pPr>
                <a:defRPr sz="1400" b="1" i="0" u="none" strike="noStrike" kern="1200" spc="0" baseline="0">
                  <a:solidFill>
                    <a:schemeClr val="accent1"/>
                  </a:solidFill>
                  <a:latin typeface="+mn-lt"/>
                  <a:ea typeface="+mn-ea"/>
                  <a:cs typeface="+mn-cs"/>
                </a:defRPr>
              </a:pPr>
              <a:endParaRPr lang="en-US"/>
            </a:p>
          </c:txPr>
          <c:dLblPos val="bestFit"/>
          <c:showLegendKey val="0"/>
          <c:showVal val="0"/>
          <c:showCatName val="1"/>
          <c:showSerName val="0"/>
          <c:showPercent val="1"/>
          <c:showBubbleSize val="0"/>
          <c:separator>
</c:separator>
          <c:extLst>
            <c:ext xmlns:c15="http://schemas.microsoft.com/office/drawing/2012/chart" uri="{CE6537A1-D6FC-4f65-9D91-7224C49458BB}"/>
          </c:extLst>
        </c:dLbl>
      </c:pivotFmt>
      <c:pivotFmt>
        <c:idx val="16"/>
        <c:spPr>
          <a:solidFill>
            <a:srgbClr val="FFC267"/>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4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separator>
</c:separator>
          <c:extLst>
            <c:ext xmlns:c15="http://schemas.microsoft.com/office/drawing/2012/chart" uri="{CE6537A1-D6FC-4f65-9D91-7224C49458BB}"/>
          </c:extLst>
        </c:dLbl>
      </c:pivotFmt>
      <c:pivotFmt>
        <c:idx val="17"/>
        <c:spPr>
          <a:solidFill>
            <a:srgbClr val="FF7D67"/>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4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separator>
</c:separator>
          <c:extLst>
            <c:ext xmlns:c15="http://schemas.microsoft.com/office/drawing/2012/chart" uri="{CE6537A1-D6FC-4f65-9D91-7224C49458BB}"/>
          </c:extLst>
        </c:dLbl>
      </c:pivotFmt>
      <c:pivotFmt>
        <c:idx val="18"/>
        <c:spPr>
          <a:solidFill>
            <a:schemeClr val="accent1"/>
          </a:solidFill>
          <a:ln>
            <a:noFill/>
          </a:ln>
          <a:effectLst>
            <a:outerShdw blurRad="63500" sx="102000" sy="102000" algn="ctr" rotWithShape="0">
              <a:prstClr val="black">
                <a:alpha val="20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9"/>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20"/>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21"/>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22"/>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23"/>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24"/>
        <c:spPr>
          <a:solidFill>
            <a:schemeClr val="accent1"/>
          </a:solidFill>
          <a:ln w="15875" cmpd="tri">
            <a:solidFill>
              <a:schemeClr val="tx1"/>
            </a:solidFill>
          </a:ln>
          <a:effectLst>
            <a:outerShdw blurRad="50800" dist="63500" dir="2700000" algn="tl" rotWithShape="0">
              <a:prstClr val="black">
                <a:alpha val="40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25"/>
        <c:spPr>
          <a:solidFill>
            <a:srgbClr val="99BD66"/>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400" b="1" i="0" u="none" strike="noStrike" kern="1200" spc="0" baseline="0">
                  <a:solidFill>
                    <a:schemeClr val="tx1"/>
                  </a:solidFill>
                  <a:latin typeface="+mn-lt"/>
                  <a:ea typeface="+mn-ea"/>
                  <a:cs typeface="+mn-cs"/>
                </a:defRPr>
              </a:pPr>
              <a:endParaRPr lang="en-US"/>
            </a:p>
          </c:txPr>
          <c:dLblPos val="outEnd"/>
          <c:showLegendKey val="0"/>
          <c:showVal val="0"/>
          <c:showCatName val="0"/>
          <c:showSerName val="0"/>
          <c:showPercent val="1"/>
          <c:showBubbleSize val="0"/>
          <c:extLst>
            <c:ext xmlns:c15="http://schemas.microsoft.com/office/drawing/2012/chart" uri="{CE6537A1-D6FC-4f65-9D91-7224C49458BB}"/>
          </c:extLst>
        </c:dLbl>
      </c:pivotFmt>
      <c:pivotFmt>
        <c:idx val="26"/>
        <c:spPr>
          <a:solidFill>
            <a:srgbClr val="C1FFC1"/>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400" b="1" i="0" u="none" strike="noStrike" kern="1200" spc="0" baseline="0">
                  <a:solidFill>
                    <a:schemeClr val="tx1"/>
                  </a:solidFill>
                  <a:latin typeface="+mn-lt"/>
                  <a:ea typeface="+mn-ea"/>
                  <a:cs typeface="+mn-cs"/>
                </a:defRPr>
              </a:pPr>
              <a:endParaRPr lang="en-US"/>
            </a:p>
          </c:txPr>
          <c:dLblPos val="outEnd"/>
          <c:showLegendKey val="0"/>
          <c:showVal val="0"/>
          <c:showCatName val="0"/>
          <c:showSerName val="0"/>
          <c:showPercent val="1"/>
          <c:showBubbleSize val="0"/>
          <c:extLst>
            <c:ext xmlns:c15="http://schemas.microsoft.com/office/drawing/2012/chart" uri="{CE6537A1-D6FC-4f65-9D91-7224C49458BB}"/>
          </c:extLst>
        </c:dLbl>
      </c:pivotFmt>
      <c:pivotFmt>
        <c:idx val="27"/>
        <c:spPr>
          <a:solidFill>
            <a:srgbClr val="FFFF66"/>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400" b="1" i="0" u="none" strike="noStrike" kern="1200" spc="0" baseline="0">
                  <a:solidFill>
                    <a:schemeClr val="tx1"/>
                  </a:solidFill>
                  <a:latin typeface="+mn-lt"/>
                  <a:ea typeface="+mn-ea"/>
                  <a:cs typeface="+mn-cs"/>
                </a:defRPr>
              </a:pPr>
              <a:endParaRPr lang="en-US"/>
            </a:p>
          </c:txPr>
          <c:dLblPos val="outEnd"/>
          <c:showLegendKey val="0"/>
          <c:showVal val="0"/>
          <c:showCatName val="0"/>
          <c:showSerName val="0"/>
          <c:showPercent val="1"/>
          <c:showBubbleSize val="0"/>
          <c:extLst>
            <c:ext xmlns:c15="http://schemas.microsoft.com/office/drawing/2012/chart" uri="{CE6537A1-D6FC-4f65-9D91-7224C49458BB}"/>
          </c:extLst>
        </c:dLbl>
      </c:pivotFmt>
      <c:pivotFmt>
        <c:idx val="28"/>
        <c:spPr>
          <a:solidFill>
            <a:srgbClr val="FFC267"/>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400" b="1" i="0" u="none" strike="noStrike" kern="1200" spc="0" baseline="0">
                  <a:solidFill>
                    <a:schemeClr val="tx1"/>
                  </a:solidFill>
                  <a:latin typeface="+mn-lt"/>
                  <a:ea typeface="+mn-ea"/>
                  <a:cs typeface="+mn-cs"/>
                </a:defRPr>
              </a:pPr>
              <a:endParaRPr lang="en-US"/>
            </a:p>
          </c:txPr>
          <c:dLblPos val="outEnd"/>
          <c:showLegendKey val="0"/>
          <c:showVal val="0"/>
          <c:showCatName val="0"/>
          <c:showSerName val="0"/>
          <c:showPercent val="1"/>
          <c:showBubbleSize val="0"/>
          <c:extLst>
            <c:ext xmlns:c15="http://schemas.microsoft.com/office/drawing/2012/chart" uri="{CE6537A1-D6FC-4f65-9D91-7224C49458BB}"/>
          </c:extLst>
        </c:dLbl>
      </c:pivotFmt>
      <c:pivotFmt>
        <c:idx val="29"/>
        <c:spPr>
          <a:solidFill>
            <a:srgbClr val="FF7D67"/>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400" b="1" i="0" u="none" strike="noStrike" kern="1200" spc="0" baseline="0">
                  <a:solidFill>
                    <a:schemeClr val="tx1"/>
                  </a:solidFill>
                  <a:latin typeface="+mn-lt"/>
                  <a:ea typeface="+mn-ea"/>
                  <a:cs typeface="+mn-cs"/>
                </a:defRPr>
              </a:pPr>
              <a:endParaRPr lang="en-US"/>
            </a:p>
          </c:txPr>
          <c:dLblPos val="outEnd"/>
          <c:showLegendKey val="0"/>
          <c:showVal val="0"/>
          <c:showCatName val="0"/>
          <c:showSerName val="0"/>
          <c:showPercent val="1"/>
          <c:showBubbleSize val="0"/>
          <c:extLst>
            <c:ext xmlns:c15="http://schemas.microsoft.com/office/drawing/2012/chart" uri="{CE6537A1-D6FC-4f65-9D91-7224C49458BB}"/>
          </c:extLst>
        </c:dLbl>
      </c:pivotFmt>
      <c:pivotFmt>
        <c:idx val="30"/>
        <c:spPr>
          <a:solidFill>
            <a:schemeClr val="accent1"/>
          </a:solidFill>
          <a:ln>
            <a:noFill/>
          </a:ln>
          <a:effectLst>
            <a:outerShdw blurRad="63500" sx="102000" sy="102000" algn="ctr" rotWithShape="0">
              <a:prstClr val="black">
                <a:alpha val="20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1"/>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2"/>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3"/>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4"/>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5"/>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6"/>
        <c:spPr>
          <a:solidFill>
            <a:srgbClr val="99BD66"/>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37"/>
        <c:spPr>
          <a:solidFill>
            <a:srgbClr val="C1FFC1"/>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38"/>
        <c:spPr>
          <a:solidFill>
            <a:srgbClr val="FFFF66"/>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39"/>
        <c:spPr>
          <a:solidFill>
            <a:srgbClr val="FFC267"/>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40"/>
        <c:spPr>
          <a:solidFill>
            <a:srgbClr val="FF7D67"/>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41"/>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42"/>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43"/>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44"/>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45"/>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46"/>
        <c:spPr>
          <a:solidFill>
            <a:schemeClr val="accent1"/>
          </a:solidFill>
          <a:ln w="15875" cmpd="tri">
            <a:solidFill>
              <a:schemeClr val="tx1"/>
            </a:solidFill>
          </a:ln>
          <a:effectLst>
            <a:outerShdw blurRad="50800" dist="63500" dir="2700000" algn="tl" rotWithShape="0">
              <a:prstClr val="black">
                <a:alpha val="40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47"/>
        <c:spPr>
          <a:solidFill>
            <a:srgbClr val="99BD66"/>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48"/>
        <c:spPr>
          <a:solidFill>
            <a:srgbClr val="C1FFC1"/>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49"/>
        <c:spPr>
          <a:solidFill>
            <a:srgbClr val="FFFF66"/>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50"/>
        <c:spPr>
          <a:solidFill>
            <a:srgbClr val="FFC267"/>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51"/>
        <c:spPr>
          <a:solidFill>
            <a:srgbClr val="FF7D67"/>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52"/>
        <c:spPr>
          <a:solidFill>
            <a:schemeClr val="accent1"/>
          </a:solidFill>
          <a:ln>
            <a:noFill/>
          </a:ln>
          <a:effectLst>
            <a:outerShdw blurRad="63500" sx="102000" sy="102000" algn="ctr" rotWithShape="0">
              <a:prstClr val="black">
                <a:alpha val="20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53"/>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54"/>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55"/>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56"/>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57"/>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58"/>
        <c:spPr>
          <a:solidFill>
            <a:schemeClr val="accent1"/>
          </a:solidFill>
          <a:ln w="15875" cmpd="tri">
            <a:solidFill>
              <a:schemeClr val="tx1"/>
            </a:solidFill>
          </a:ln>
          <a:effectLst>
            <a:outerShdw blurRad="50800" dist="63500" dir="2700000" algn="tl" rotWithShape="0">
              <a:prstClr val="black">
                <a:alpha val="40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59"/>
        <c:spPr>
          <a:solidFill>
            <a:srgbClr val="99BD66"/>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60"/>
        <c:spPr>
          <a:solidFill>
            <a:srgbClr val="C1FFC1"/>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61"/>
        <c:spPr>
          <a:solidFill>
            <a:srgbClr val="FFFF66"/>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62"/>
        <c:spPr>
          <a:solidFill>
            <a:srgbClr val="FFC267"/>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63"/>
        <c:spPr>
          <a:solidFill>
            <a:srgbClr val="FF7D67"/>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64"/>
        <c:spPr>
          <a:solidFill>
            <a:schemeClr val="accent1"/>
          </a:solidFill>
          <a:ln>
            <a:noFill/>
          </a:ln>
          <a:effectLst>
            <a:outerShdw blurRad="63500" sx="102000" sy="102000" algn="ctr" rotWithShape="0">
              <a:prstClr val="black">
                <a:alpha val="20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65"/>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66"/>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67"/>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68"/>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69"/>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70"/>
        <c:spPr>
          <a:solidFill>
            <a:schemeClr val="accent1"/>
          </a:solidFill>
          <a:ln w="15875" cmpd="tri">
            <a:solidFill>
              <a:schemeClr val="tx1"/>
            </a:solidFill>
          </a:ln>
          <a:effectLst>
            <a:outerShdw blurRad="50800" dist="63500" dir="2700000" algn="tl" rotWithShape="0">
              <a:prstClr val="black">
                <a:alpha val="40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71"/>
        <c:spPr>
          <a:solidFill>
            <a:srgbClr val="99BD66"/>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72"/>
        <c:spPr>
          <a:solidFill>
            <a:srgbClr val="C1FFC1"/>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73"/>
        <c:spPr>
          <a:solidFill>
            <a:schemeClr val="accent1"/>
          </a:solidFill>
          <a:ln>
            <a:noFill/>
          </a:ln>
          <a:effectLst>
            <a:outerShdw blurRad="63500" sx="102000" sy="102000" algn="ctr" rotWithShape="0">
              <a:prstClr val="black">
                <a:alpha val="20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74"/>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75"/>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76"/>
        <c:spPr>
          <a:solidFill>
            <a:schemeClr val="accent1"/>
          </a:solidFill>
          <a:ln w="15875" cmpd="tri">
            <a:solidFill>
              <a:schemeClr val="tx1"/>
            </a:solidFill>
          </a:ln>
          <a:effectLst>
            <a:outerShdw blurRad="50800" dist="63500" dir="2700000" algn="tl" rotWithShape="0">
              <a:prstClr val="black">
                <a:alpha val="40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77"/>
        <c:spPr>
          <a:solidFill>
            <a:srgbClr val="99BD66"/>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78"/>
        <c:spPr>
          <a:solidFill>
            <a:srgbClr val="FF7D67"/>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79"/>
        <c:spPr>
          <a:solidFill>
            <a:schemeClr val="accent1"/>
          </a:solidFill>
          <a:ln>
            <a:noFill/>
          </a:ln>
          <a:effectLst>
            <a:outerShdw blurRad="63500" sx="102000" sy="102000" algn="ctr" rotWithShape="0">
              <a:prstClr val="black">
                <a:alpha val="20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80"/>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81"/>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82"/>
        <c:spPr>
          <a:solidFill>
            <a:schemeClr val="accent1"/>
          </a:solidFill>
          <a:ln w="15875" cmpd="tri">
            <a:solidFill>
              <a:schemeClr val="tx1"/>
            </a:solidFill>
          </a:ln>
          <a:effectLst>
            <a:outerShdw blurRad="50800" dist="63500" dir="2700000" algn="tl" rotWithShape="0">
              <a:prstClr val="black">
                <a:alpha val="40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83"/>
        <c:spPr>
          <a:solidFill>
            <a:srgbClr val="99BD66"/>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84"/>
        <c:spPr>
          <a:solidFill>
            <a:srgbClr val="FF7D67"/>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85"/>
        <c:spPr>
          <a:solidFill>
            <a:schemeClr val="accent1"/>
          </a:solidFill>
          <a:ln>
            <a:noFill/>
          </a:ln>
          <a:effectLst>
            <a:outerShdw blurRad="63500" sx="102000" sy="102000" algn="ctr" rotWithShape="0">
              <a:prstClr val="black">
                <a:alpha val="20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86"/>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87"/>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88"/>
        <c:spPr>
          <a:solidFill>
            <a:schemeClr val="accent1"/>
          </a:solidFill>
          <a:ln w="15875" cmpd="tri">
            <a:solidFill>
              <a:schemeClr val="tx1"/>
            </a:solidFill>
          </a:ln>
          <a:effectLst>
            <a:outerShdw blurRad="50800" dist="63500" dir="2700000" algn="tl" rotWithShape="0">
              <a:prstClr val="black">
                <a:alpha val="40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89"/>
        <c:spPr>
          <a:solidFill>
            <a:srgbClr val="99BD66"/>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90"/>
        <c:spPr>
          <a:solidFill>
            <a:srgbClr val="FF7D67"/>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91"/>
        <c:spPr>
          <a:solidFill>
            <a:schemeClr val="accent1"/>
          </a:solidFill>
          <a:ln>
            <a:noFill/>
          </a:ln>
          <a:effectLst>
            <a:outerShdw blurRad="63500" sx="102000" sy="102000" algn="ctr" rotWithShape="0">
              <a:prstClr val="black">
                <a:alpha val="20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92"/>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93"/>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94"/>
        <c:spPr>
          <a:solidFill>
            <a:schemeClr val="accent1"/>
          </a:solidFill>
          <a:ln w="15875" cmpd="tri">
            <a:solidFill>
              <a:schemeClr val="tx1"/>
            </a:solidFill>
          </a:ln>
          <a:effectLst>
            <a:outerShdw blurRad="50800" dist="63500" dir="2700000" algn="tl" rotWithShape="0">
              <a:prstClr val="black">
                <a:alpha val="40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95"/>
        <c:spPr>
          <a:solidFill>
            <a:srgbClr val="99BD66"/>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96"/>
        <c:spPr>
          <a:solidFill>
            <a:srgbClr val="FF7D67"/>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97"/>
        <c:spPr>
          <a:solidFill>
            <a:schemeClr val="accent1"/>
          </a:solidFill>
          <a:ln>
            <a:noFill/>
          </a:ln>
          <a:effectLst>
            <a:outerShdw blurRad="63500" sx="102000" sy="102000" algn="ctr" rotWithShape="0">
              <a:prstClr val="black">
                <a:alpha val="20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98"/>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99"/>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00"/>
        <c:spPr>
          <a:solidFill>
            <a:schemeClr val="accent1"/>
          </a:solidFill>
          <a:ln w="15875" cmpd="tri">
            <a:solidFill>
              <a:schemeClr val="tx1"/>
            </a:solidFill>
          </a:ln>
          <a:effectLst>
            <a:outerShdw blurRad="50800" dist="63500" dir="2700000" algn="tl" rotWithShape="0">
              <a:prstClr val="black">
                <a:alpha val="40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101"/>
        <c:spPr>
          <a:solidFill>
            <a:srgbClr val="99BD66"/>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102"/>
        <c:spPr>
          <a:solidFill>
            <a:srgbClr val="FF7D67"/>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103"/>
        <c:spPr>
          <a:solidFill>
            <a:schemeClr val="accent1"/>
          </a:solidFill>
          <a:ln>
            <a:noFill/>
          </a:ln>
          <a:effectLst>
            <a:outerShdw blurRad="63500" sx="102000" sy="102000" algn="ctr" rotWithShape="0">
              <a:prstClr val="black">
                <a:alpha val="20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04"/>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05"/>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s>
    <c:plotArea>
      <c:layout/>
      <c:pieChart>
        <c:varyColors val="1"/>
        <c:ser>
          <c:idx val="0"/>
          <c:order val="0"/>
          <c:tx>
            <c:strRef>
              <c:f>'Statistics October'!$C$61</c:f>
              <c:strCache>
                <c:ptCount val="1"/>
                <c:pt idx="0">
                  <c:v># Authorities</c:v>
                </c:pt>
              </c:strCache>
            </c:strRef>
          </c:tx>
          <c:spPr>
            <a:ln w="15875" cmpd="tri">
              <a:solidFill>
                <a:schemeClr val="tx1"/>
              </a:solidFill>
            </a:ln>
            <a:effectLst>
              <a:outerShdw blurRad="50800" dist="63500" dir="2700000" algn="tl" rotWithShape="0">
                <a:prstClr val="black">
                  <a:alpha val="40000"/>
                </a:prstClr>
              </a:outerShdw>
            </a:effectLst>
          </c:spPr>
          <c:explosion val="3"/>
          <c:dPt>
            <c:idx val="0"/>
            <c:bubble3D val="0"/>
            <c:spPr>
              <a:solidFill>
                <a:srgbClr val="99BD66"/>
              </a:solidFill>
              <a:ln w="15875" cmpd="tri">
                <a:solidFill>
                  <a:schemeClr val="tx1"/>
                </a:solidFill>
              </a:ln>
              <a:effectLst>
                <a:outerShdw blurRad="50800" dist="63500" dir="2700000" algn="tl" rotWithShape="0">
                  <a:prstClr val="black">
                    <a:alpha val="40000"/>
                  </a:prstClr>
                </a:outerShdw>
              </a:effectLst>
            </c:spPr>
            <c:extLst>
              <c:ext xmlns:c16="http://schemas.microsoft.com/office/drawing/2014/chart" uri="{C3380CC4-5D6E-409C-BE32-E72D297353CC}">
                <c16:uniqueId val="{00000001-13BB-43BC-A657-4CA0F8971FDD}"/>
              </c:ext>
            </c:extLst>
          </c:dPt>
          <c:dPt>
            <c:idx val="1"/>
            <c:bubble3D val="0"/>
            <c:spPr>
              <a:solidFill>
                <a:srgbClr val="FF7D67"/>
              </a:solidFill>
              <a:ln w="15875" cmpd="tri">
                <a:solidFill>
                  <a:schemeClr val="tx1"/>
                </a:solidFill>
              </a:ln>
              <a:effectLst>
                <a:outerShdw blurRad="50800" dist="63500" dir="2700000" algn="tl" rotWithShape="0">
                  <a:prstClr val="black">
                    <a:alpha val="40000"/>
                  </a:prstClr>
                </a:outerShdw>
              </a:effectLst>
            </c:spPr>
            <c:extLst>
              <c:ext xmlns:c16="http://schemas.microsoft.com/office/drawing/2014/chart" uri="{C3380CC4-5D6E-409C-BE32-E72D297353CC}">
                <c16:uniqueId val="{00000003-13BB-43BC-A657-4CA0F8971FDD}"/>
              </c:ext>
            </c:extLst>
          </c:dPt>
          <c:dPt>
            <c:idx val="2"/>
            <c:bubble3D val="0"/>
            <c:spPr>
              <a:solidFill>
                <a:schemeClr val="accent3"/>
              </a:solidFill>
              <a:ln w="15875" cmpd="tri">
                <a:solidFill>
                  <a:schemeClr val="tx1"/>
                </a:solidFill>
              </a:ln>
              <a:effectLst>
                <a:outerShdw blurRad="50800" dist="63500" dir="2700000" algn="tl" rotWithShape="0">
                  <a:prstClr val="black">
                    <a:alpha val="40000"/>
                  </a:prstClr>
                </a:outerShdw>
              </a:effectLst>
            </c:spPr>
            <c:extLst>
              <c:ext xmlns:c16="http://schemas.microsoft.com/office/drawing/2014/chart" uri="{C3380CC4-5D6E-409C-BE32-E72D297353CC}">
                <c16:uniqueId val="{00000005-13BB-43BC-A657-4CA0F8971FDD}"/>
              </c:ext>
            </c:extLst>
          </c:dPt>
          <c:dPt>
            <c:idx val="3"/>
            <c:bubble3D val="0"/>
            <c:spPr>
              <a:solidFill>
                <a:schemeClr val="accent4"/>
              </a:solidFill>
              <a:ln w="15875" cmpd="tri">
                <a:solidFill>
                  <a:schemeClr val="tx1"/>
                </a:solidFill>
              </a:ln>
              <a:effectLst>
                <a:outerShdw blurRad="50800" dist="63500" dir="2700000" algn="tl" rotWithShape="0">
                  <a:prstClr val="black">
                    <a:alpha val="40000"/>
                  </a:prstClr>
                </a:outerShdw>
              </a:effectLst>
            </c:spPr>
            <c:extLst>
              <c:ext xmlns:c16="http://schemas.microsoft.com/office/drawing/2014/chart" uri="{C3380CC4-5D6E-409C-BE32-E72D297353CC}">
                <c16:uniqueId val="{00000007-13BB-43BC-A657-4CA0F8971FDD}"/>
              </c:ext>
            </c:extLst>
          </c:dPt>
          <c:dPt>
            <c:idx val="4"/>
            <c:bubble3D val="0"/>
            <c:spPr>
              <a:solidFill>
                <a:schemeClr val="accent5"/>
              </a:solidFill>
              <a:ln w="15875" cmpd="tri">
                <a:solidFill>
                  <a:schemeClr val="tx1"/>
                </a:solidFill>
              </a:ln>
              <a:effectLst>
                <a:outerShdw blurRad="50800" dist="63500" dir="2700000" algn="tl" rotWithShape="0">
                  <a:prstClr val="black">
                    <a:alpha val="40000"/>
                  </a:prstClr>
                </a:outerShdw>
              </a:effectLst>
            </c:spPr>
            <c:extLst>
              <c:ext xmlns:c16="http://schemas.microsoft.com/office/drawing/2014/chart" uri="{C3380CC4-5D6E-409C-BE32-E72D297353CC}">
                <c16:uniqueId val="{00000009-13BB-43BC-A657-4CA0F8971FDD}"/>
              </c:ext>
            </c:extLst>
          </c:dPt>
          <c:dLbls>
            <c:dLbl>
              <c:idx val="0"/>
              <c:layout>
                <c:manualLayout>
                  <c:x val="-5.185185185185185E-2"/>
                  <c:y val="-3.9977155910908051E-2"/>
                </c:manualLayout>
              </c:layout>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13BB-43BC-A657-4CA0F8971FDD}"/>
                </c:ext>
              </c:extLst>
            </c:dLbl>
            <c:dLbl>
              <c:idx val="1"/>
              <c:layout>
                <c:manualLayout>
                  <c:x val="4.4444444444444446E-2"/>
                  <c:y val="-1.1422044545973729E-2"/>
                </c:manualLayout>
              </c:layout>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13BB-43BC-A657-4CA0F8971FDD}"/>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showLeaderLines val="0"/>
            <c:extLst>
              <c:ext xmlns:c15="http://schemas.microsoft.com/office/drawing/2012/chart" uri="{CE6537A1-D6FC-4f65-9D91-7224C49458BB}"/>
            </c:extLst>
          </c:dLbls>
          <c:cat>
            <c:strRef>
              <c:f>'Statistics October'!$B$62:$B$64</c:f>
              <c:strCache>
                <c:ptCount val="2"/>
                <c:pt idx="0">
                  <c:v>Yes</c:v>
                </c:pt>
                <c:pt idx="1">
                  <c:v>No</c:v>
                </c:pt>
              </c:strCache>
            </c:strRef>
          </c:cat>
          <c:val>
            <c:numRef>
              <c:f>'Statistics October'!$C$62:$C$64</c:f>
              <c:numCache>
                <c:formatCode>0</c:formatCode>
                <c:ptCount val="2"/>
                <c:pt idx="0">
                  <c:v>9</c:v>
                </c:pt>
                <c:pt idx="1">
                  <c:v>23</c:v>
                </c:pt>
              </c:numCache>
            </c:numRef>
          </c:val>
          <c:extLst>
            <c:ext xmlns:c16="http://schemas.microsoft.com/office/drawing/2014/chart" uri="{C3380CC4-5D6E-409C-BE32-E72D297353CC}">
              <c16:uniqueId val="{0000000A-13BB-43BC-A657-4CA0F8971FDD}"/>
            </c:ext>
          </c:extLst>
        </c:ser>
        <c:ser>
          <c:idx val="1"/>
          <c:order val="1"/>
          <c:tx>
            <c:strRef>
              <c:f>'Statistics October'!$D$61</c:f>
              <c:strCache>
                <c:ptCount val="1"/>
                <c:pt idx="0">
                  <c:v>% Authorities</c:v>
                </c:pt>
              </c:strCache>
            </c:strRef>
          </c:tx>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C-13BB-43BC-A657-4CA0F8971FDD}"/>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E-13BB-43BC-A657-4CA0F8971FDD}"/>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0-13BB-43BC-A657-4CA0F8971FDD}"/>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2-13BB-43BC-A657-4CA0F8971FDD}"/>
              </c:ext>
            </c:extLst>
          </c:dPt>
          <c:dPt>
            <c:idx val="4"/>
            <c:bubble3D val="0"/>
            <c:spPr>
              <a:solidFill>
                <a:schemeClr val="accent5"/>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4-13BB-43BC-A657-4CA0F8971FDD}"/>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0C-13BB-43BC-A657-4CA0F8971FDD}"/>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0E-13BB-43BC-A657-4CA0F8971FDD}"/>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'Statistics October'!$B$62:$B$64</c:f>
              <c:strCache>
                <c:ptCount val="2"/>
                <c:pt idx="0">
                  <c:v>Yes</c:v>
                </c:pt>
                <c:pt idx="1">
                  <c:v>No</c:v>
                </c:pt>
              </c:strCache>
            </c:strRef>
          </c:cat>
          <c:val>
            <c:numRef>
              <c:f>'Statistics October'!$D$62:$D$64</c:f>
              <c:numCache>
                <c:formatCode>0%</c:formatCode>
                <c:ptCount val="2"/>
                <c:pt idx="0">
                  <c:v>0.28125</c:v>
                </c:pt>
                <c:pt idx="1">
                  <c:v>0.71875</c:v>
                </c:pt>
              </c:numCache>
            </c:numRef>
          </c:val>
          <c:extLst>
            <c:ext xmlns:c16="http://schemas.microsoft.com/office/drawing/2014/chart" uri="{C3380CC4-5D6E-409C-BE32-E72D297353CC}">
              <c16:uniqueId val="{00000015-13BB-43BC-A657-4CA0F8971FDD}"/>
            </c:ext>
          </c:extLst>
        </c:ser>
        <c:dLbls>
          <c:dLblPos val="outEnd"/>
          <c:showLegendKey val="0"/>
          <c:showVal val="1"/>
          <c:showCatName val="0"/>
          <c:showSerName val="0"/>
          <c:showPercent val="0"/>
          <c:showBubbleSize val="0"/>
          <c:showLeaderLines val="0"/>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a:outerShdw blurRad="50800" dist="127000" dir="2700000" algn="tl" rotWithShape="0">
        <a:prstClr val="black">
          <a:alpha val="40000"/>
        </a:prstClr>
      </a:outerShdw>
    </a:effectLst>
    <a:scene3d>
      <a:camera prst="orthographicFront"/>
      <a:lightRig rig="threePt" dir="t"/>
    </a:scene3d>
    <a:sp3d>
      <a:bevelT/>
    </a:sp3d>
  </c:spPr>
  <c:txPr>
    <a:bodyPr/>
    <a:lstStyle/>
    <a:p>
      <a:pPr>
        <a:defRPr/>
      </a:pPr>
      <a:endParaRPr lang="en-US"/>
    </a:p>
  </c:txPr>
  <c:externalData r:id="rId4">
    <c:autoUpdate val="0"/>
  </c:externalData>
  <c:extLst>
    <c:ext xmlns:c14="http://schemas.microsoft.com/office/drawing/2007/8/2/chart" uri="{781A3756-C4B2-4CAC-9D66-4F8BD8637D16}">
      <c14:pivotOptions>
        <c14:dropZoneFilter val="1"/>
        <c14:dropZoneData val="1"/>
        <c14:dropZoneSeries val="1"/>
      </c14:pivotOptions>
    </c:ext>
    <c:ext xmlns:c16="http://schemas.microsoft.com/office/drawing/2014/chart" uri="{E28EC0CA-F0BB-4C9C-879D-F8772B89E7AC}">
      <c16:pivotOptions16>
        <c16:showExpandCollapseFieldButtons val="1"/>
      </c16:pivotOptions16>
    </c:ext>
  </c:extLst>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[Licensing authorities’ approach to the Equality Act 2010 provisions on taxi wheelchair discrimination.xlsx]Statistics October!IntentEnglandOct</c:name>
    <c:fmtId val="-1"/>
  </c:pivotSource>
  <c:chart>
    <c:title>
      <c:tx>
        <c:rich>
          <a:bodyPr rot="0" spcFirstLastPara="1" vertOverflow="ellipsis" vert="horz" wrap="square" anchor="ctr" anchorCtr="1"/>
          <a:lstStyle/>
          <a:p>
            <a:pPr algn="ctr" rtl="0">
              <a:defRPr lang="en-GB" sz="1200" b="1" i="0" u="none" strike="noStrike" kern="1200" cap="none" baseline="0">
                <a:solidFill>
                  <a:sysClr val="windowText" lastClr="000000">
                    <a:lumMod val="65000"/>
                    <a:lumOff val="35000"/>
                  </a:sysClr>
                </a:solidFill>
                <a:latin typeface="+mn-lt"/>
                <a:ea typeface="+mn-ea"/>
                <a:cs typeface="+mn-cs"/>
              </a:defRPr>
            </a:pPr>
            <a:r>
              <a:rPr lang="en-GB" sz="1200" b="1" i="0" u="none" strike="noStrike" kern="1200" cap="none" baseline="0">
                <a:solidFill>
                  <a:sysClr val="windowText" lastClr="000000">
                    <a:lumMod val="65000"/>
                    <a:lumOff val="35000"/>
                  </a:sysClr>
                </a:solidFill>
                <a:latin typeface="+mn-lt"/>
                <a:ea typeface="+mn-ea"/>
                <a:cs typeface="+mn-cs"/>
              </a:rPr>
              <a:t>England Authorities</a:t>
            </a:r>
          </a:p>
          <a:p>
            <a:pPr algn="ctr" rtl="0">
              <a:defRPr lang="en-GB" sz="1200" cap="none">
                <a:solidFill>
                  <a:sysClr val="windowText" lastClr="000000">
                    <a:lumMod val="65000"/>
                    <a:lumOff val="35000"/>
                  </a:sysClr>
                </a:solidFill>
              </a:defRPr>
            </a:pPr>
            <a:r>
              <a:rPr lang="en-GB" sz="1200" b="1" i="0" u="none" strike="noStrike" kern="1200" cap="none" baseline="0">
                <a:solidFill>
                  <a:sysClr val="windowText" lastClr="000000">
                    <a:lumMod val="65000"/>
                    <a:lumOff val="35000"/>
                  </a:sysClr>
                </a:solidFill>
                <a:latin typeface="+mn-lt"/>
                <a:ea typeface="+mn-ea"/>
                <a:cs typeface="+mn-cs"/>
              </a:rPr>
              <a:t>S167 Intent November 2017</a:t>
            </a:r>
          </a:p>
        </c:rich>
      </c:tx>
      <c:overlay val="0"/>
      <c:spPr>
        <a:noFill/>
        <a:ln>
          <a:noFill/>
        </a:ln>
        <a:effectLst/>
      </c:spPr>
      <c:txPr>
        <a:bodyPr rot="0" spcFirstLastPara="1" vertOverflow="ellipsis" vert="horz" wrap="square" anchor="ctr" anchorCtr="1"/>
        <a:lstStyle/>
        <a:p>
          <a:pPr algn="ctr" rtl="0">
            <a:defRPr lang="en-GB" sz="1200" b="1" i="0" u="none" strike="noStrike" kern="1200" cap="none" baseline="0">
              <a:solidFill>
                <a:sysClr val="windowText" lastClr="000000">
                  <a:lumMod val="65000"/>
                  <a:lumOff val="35000"/>
                </a:sysClr>
              </a:solidFill>
              <a:latin typeface="+mn-lt"/>
              <a:ea typeface="+mn-ea"/>
              <a:cs typeface="+mn-cs"/>
            </a:defRPr>
          </a:pPr>
          <a:endParaRPr lang="en-US"/>
        </a:p>
      </c:txPr>
    </c:title>
    <c:autoTitleDeleted val="0"/>
    <c:pivotFmts>
      <c:pivotFmt>
        <c:idx val="0"/>
        <c:spPr>
          <a:solidFill>
            <a:schemeClr val="accent1"/>
          </a:solidFill>
          <a:ln>
            <a:noFill/>
          </a:ln>
          <a:effectLst>
            <a:outerShdw blurRad="63500" sx="102000" sy="102000" algn="ctr" rotWithShape="0">
              <a:prstClr val="black">
                <a:alpha val="20000"/>
              </a:prstClr>
            </a:outerShdw>
          </a:effectLst>
        </c:spPr>
        <c:marker>
          <c:symbol val="circle"/>
          <c:size val="6"/>
        </c:marke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1"/>
        <c:spPr>
          <a:solidFill>
            <a:schemeClr val="accent1"/>
          </a:solidFill>
          <a:ln>
            <a:noFill/>
          </a:ln>
          <a:effectLst>
            <a:outerShdw blurRad="63500" sx="102000" sy="102000" algn="ctr" rotWithShape="0">
              <a:prstClr val="black">
                <a:alpha val="20000"/>
              </a:prstClr>
            </a:outerShdw>
          </a:effectLst>
        </c:spPr>
        <c:marker>
          <c:symbol val="circle"/>
          <c:size val="6"/>
        </c:marke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2"/>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15:xForSave val="1"/>
            </c:ext>
          </c:extLst>
        </c:dLbl>
      </c:pivotFmt>
      <c:pivotFmt>
        <c:idx val="3"/>
        <c:spPr>
          <a:solidFill>
            <a:schemeClr val="accent2"/>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15:xForSave val="1"/>
            </c:ext>
          </c:extLst>
        </c:dLbl>
      </c:pivotFmt>
      <c:pivotFmt>
        <c:idx val="4"/>
        <c:spPr>
          <a:solidFill>
            <a:schemeClr val="accent3"/>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15:xForSave val="1"/>
            </c:ext>
          </c:extLst>
        </c:dLbl>
      </c:pivotFmt>
      <c:pivotFmt>
        <c:idx val="5"/>
        <c:spPr>
          <a:solidFill>
            <a:schemeClr val="accent4"/>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15:xForSave val="1"/>
            </c:ext>
          </c:extLst>
        </c:dLbl>
      </c:pivotFmt>
      <c:pivotFmt>
        <c:idx val="6"/>
        <c:spPr>
          <a:solidFill>
            <a:schemeClr val="accent5"/>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15:xForSave val="1"/>
            </c:ext>
          </c:extLst>
        </c:dLbl>
      </c:pivotFmt>
      <c:pivotFmt>
        <c:idx val="7"/>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15:xForSave val="1"/>
            </c:ext>
          </c:extLst>
        </c:dLbl>
      </c:pivotFmt>
      <c:pivotFmt>
        <c:idx val="8"/>
        <c:spPr>
          <a:solidFill>
            <a:schemeClr val="accent2"/>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15:xForSave val="1"/>
            </c:ext>
          </c:extLst>
        </c:dLbl>
      </c:pivotFmt>
      <c:pivotFmt>
        <c:idx val="9"/>
        <c:spPr>
          <a:solidFill>
            <a:schemeClr val="accent3"/>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15:xForSave val="1"/>
            </c:ext>
          </c:extLst>
        </c:dLbl>
      </c:pivotFmt>
      <c:pivotFmt>
        <c:idx val="10"/>
        <c:spPr>
          <a:solidFill>
            <a:schemeClr val="accent4"/>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15:xForSave val="1"/>
            </c:ext>
          </c:extLst>
        </c:dLbl>
      </c:pivotFmt>
      <c:pivotFmt>
        <c:idx val="11"/>
        <c:spPr>
          <a:solidFill>
            <a:schemeClr val="accent5"/>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15:xForSave val="1"/>
            </c:ext>
          </c:extLst>
        </c:dLbl>
      </c:pivotFmt>
      <c:pivotFmt>
        <c:idx val="12"/>
        <c:spPr>
          <a:solidFill>
            <a:schemeClr val="accent1"/>
          </a:solidFill>
          <a:ln w="15875" cmpd="tri">
            <a:solidFill>
              <a:schemeClr val="tx1"/>
            </a:solidFill>
          </a:ln>
          <a:effectLst>
            <a:outerShdw blurRad="50800" dist="63500" dir="2700000" algn="tl" rotWithShape="0">
              <a:prstClr val="black">
                <a:alpha val="40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400" b="1" i="0" u="none" strike="noStrike" kern="1200" spc="0" baseline="0">
                  <a:solidFill>
                    <a:schemeClr val="accent1"/>
                  </a:solidFill>
                  <a:latin typeface="+mn-lt"/>
                  <a:ea typeface="+mn-ea"/>
                  <a:cs typeface="+mn-cs"/>
                </a:defRPr>
              </a:pPr>
              <a:endParaRPr lang="en-US"/>
            </a:p>
          </c:txPr>
          <c:showLegendKey val="0"/>
          <c:showVal val="0"/>
          <c:showCatName val="0"/>
          <c:showSerName val="0"/>
          <c:showPercent val="1"/>
          <c:showBubbleSize val="0"/>
          <c:separator>
</c:separator>
          <c:extLst>
            <c:ext xmlns:c15="http://schemas.microsoft.com/office/drawing/2012/chart" uri="{CE6537A1-D6FC-4f65-9D91-7224C49458BB}"/>
          </c:extLst>
        </c:dLbl>
      </c:pivotFmt>
      <c:pivotFmt>
        <c:idx val="13"/>
        <c:spPr>
          <a:solidFill>
            <a:srgbClr val="99BD66"/>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4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separator>
</c:separator>
          <c:extLst>
            <c:ext xmlns:c15="http://schemas.microsoft.com/office/drawing/2012/chart" uri="{CE6537A1-D6FC-4f65-9D91-7224C49458BB}"/>
          </c:extLst>
        </c:dLbl>
      </c:pivotFmt>
      <c:pivotFmt>
        <c:idx val="14"/>
        <c:spPr>
          <a:solidFill>
            <a:srgbClr val="C1FFC1"/>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4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separator>
</c:separator>
          <c:extLst>
            <c:ext xmlns:c15="http://schemas.microsoft.com/office/drawing/2012/chart" uri="{CE6537A1-D6FC-4f65-9D91-7224C49458BB}"/>
          </c:extLst>
        </c:dLbl>
      </c:pivotFmt>
      <c:pivotFmt>
        <c:idx val="15"/>
        <c:spPr>
          <a:solidFill>
            <a:srgbClr val="FFFF66"/>
          </a:solidFill>
          <a:ln w="15875" cmpd="tri">
            <a:solidFill>
              <a:schemeClr val="tx1"/>
            </a:solidFill>
          </a:ln>
          <a:effectLst>
            <a:outerShdw blurRad="50800" dist="63500" dir="2700000" algn="tl" rotWithShape="0">
              <a:prstClr val="black">
                <a:alpha val="40000"/>
              </a:prstClr>
            </a:outerShdw>
          </a:effectLst>
        </c:spPr>
        <c:dLbl>
          <c:idx val="0"/>
          <c:layout>
            <c:manualLayout>
              <c:x val="0.10482583349824562"/>
              <c:y val="-2.6666666666666666E-3"/>
            </c:manualLayout>
          </c:layout>
          <c:spPr>
            <a:noFill/>
            <a:ln>
              <a:noFill/>
            </a:ln>
            <a:effectLst/>
          </c:spPr>
          <c:txPr>
            <a:bodyPr rot="0" spcFirstLastPara="1" vertOverflow="ellipsis" vert="horz" wrap="square" lIns="38100" tIns="19050" rIns="38100" bIns="19050" anchor="ctr" anchorCtr="1">
              <a:spAutoFit/>
            </a:bodyPr>
            <a:lstStyle/>
            <a:p>
              <a:pPr>
                <a:defRPr sz="1400" b="1" i="0" u="none" strike="noStrike" kern="1200" spc="0" baseline="0">
                  <a:solidFill>
                    <a:schemeClr val="accent1"/>
                  </a:solidFill>
                  <a:latin typeface="+mn-lt"/>
                  <a:ea typeface="+mn-ea"/>
                  <a:cs typeface="+mn-cs"/>
                </a:defRPr>
              </a:pPr>
              <a:endParaRPr lang="en-US"/>
            </a:p>
          </c:txPr>
          <c:dLblPos val="bestFit"/>
          <c:showLegendKey val="0"/>
          <c:showVal val="0"/>
          <c:showCatName val="1"/>
          <c:showSerName val="0"/>
          <c:showPercent val="1"/>
          <c:showBubbleSize val="0"/>
          <c:separator>
</c:separator>
          <c:extLst>
            <c:ext xmlns:c15="http://schemas.microsoft.com/office/drawing/2012/chart" uri="{CE6537A1-D6FC-4f65-9D91-7224C49458BB}"/>
          </c:extLst>
        </c:dLbl>
      </c:pivotFmt>
      <c:pivotFmt>
        <c:idx val="16"/>
        <c:spPr>
          <a:solidFill>
            <a:srgbClr val="FFC267"/>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4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separator>
</c:separator>
          <c:extLst>
            <c:ext xmlns:c15="http://schemas.microsoft.com/office/drawing/2012/chart" uri="{CE6537A1-D6FC-4f65-9D91-7224C49458BB}"/>
          </c:extLst>
        </c:dLbl>
      </c:pivotFmt>
      <c:pivotFmt>
        <c:idx val="17"/>
        <c:spPr>
          <a:solidFill>
            <a:srgbClr val="FF7D67"/>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4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separator>
</c:separator>
          <c:extLst>
            <c:ext xmlns:c15="http://schemas.microsoft.com/office/drawing/2012/chart" uri="{CE6537A1-D6FC-4f65-9D91-7224C49458BB}"/>
          </c:extLst>
        </c:dLbl>
      </c:pivotFmt>
      <c:pivotFmt>
        <c:idx val="18"/>
        <c:spPr>
          <a:solidFill>
            <a:schemeClr val="accent1"/>
          </a:solidFill>
          <a:ln>
            <a:noFill/>
          </a:ln>
          <a:effectLst>
            <a:outerShdw blurRad="63500" sx="102000" sy="102000" algn="ctr" rotWithShape="0">
              <a:prstClr val="black">
                <a:alpha val="20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9"/>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20"/>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21"/>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22"/>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23"/>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24"/>
        <c:spPr>
          <a:solidFill>
            <a:schemeClr val="accent1"/>
          </a:solidFill>
          <a:ln w="15875" cmpd="tri">
            <a:solidFill>
              <a:schemeClr val="tx1"/>
            </a:solidFill>
          </a:ln>
          <a:effectLst>
            <a:outerShdw blurRad="50800" dist="63500" dir="2700000" algn="tl" rotWithShape="0">
              <a:prstClr val="black">
                <a:alpha val="40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25"/>
        <c:spPr>
          <a:solidFill>
            <a:srgbClr val="99BD66"/>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400" b="1" i="0" u="none" strike="noStrike" kern="1200" spc="0" baseline="0">
                  <a:solidFill>
                    <a:schemeClr val="tx1"/>
                  </a:solidFill>
                  <a:latin typeface="+mn-lt"/>
                  <a:ea typeface="+mn-ea"/>
                  <a:cs typeface="+mn-cs"/>
                </a:defRPr>
              </a:pPr>
              <a:endParaRPr lang="en-US"/>
            </a:p>
          </c:txPr>
          <c:dLblPos val="outEnd"/>
          <c:showLegendKey val="0"/>
          <c:showVal val="0"/>
          <c:showCatName val="0"/>
          <c:showSerName val="0"/>
          <c:showPercent val="1"/>
          <c:showBubbleSize val="0"/>
          <c:extLst>
            <c:ext xmlns:c15="http://schemas.microsoft.com/office/drawing/2012/chart" uri="{CE6537A1-D6FC-4f65-9D91-7224C49458BB}"/>
          </c:extLst>
        </c:dLbl>
      </c:pivotFmt>
      <c:pivotFmt>
        <c:idx val="26"/>
        <c:spPr>
          <a:solidFill>
            <a:srgbClr val="C1FFC1"/>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400" b="1" i="0" u="none" strike="noStrike" kern="1200" spc="0" baseline="0">
                  <a:solidFill>
                    <a:schemeClr val="tx1"/>
                  </a:solidFill>
                  <a:latin typeface="+mn-lt"/>
                  <a:ea typeface="+mn-ea"/>
                  <a:cs typeface="+mn-cs"/>
                </a:defRPr>
              </a:pPr>
              <a:endParaRPr lang="en-US"/>
            </a:p>
          </c:txPr>
          <c:dLblPos val="outEnd"/>
          <c:showLegendKey val="0"/>
          <c:showVal val="0"/>
          <c:showCatName val="0"/>
          <c:showSerName val="0"/>
          <c:showPercent val="1"/>
          <c:showBubbleSize val="0"/>
          <c:extLst>
            <c:ext xmlns:c15="http://schemas.microsoft.com/office/drawing/2012/chart" uri="{CE6537A1-D6FC-4f65-9D91-7224C49458BB}"/>
          </c:extLst>
        </c:dLbl>
      </c:pivotFmt>
      <c:pivotFmt>
        <c:idx val="27"/>
        <c:spPr>
          <a:solidFill>
            <a:srgbClr val="FFFF66"/>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400" b="1" i="0" u="none" strike="noStrike" kern="1200" spc="0" baseline="0">
                  <a:solidFill>
                    <a:schemeClr val="tx1"/>
                  </a:solidFill>
                  <a:latin typeface="+mn-lt"/>
                  <a:ea typeface="+mn-ea"/>
                  <a:cs typeface="+mn-cs"/>
                </a:defRPr>
              </a:pPr>
              <a:endParaRPr lang="en-US"/>
            </a:p>
          </c:txPr>
          <c:dLblPos val="outEnd"/>
          <c:showLegendKey val="0"/>
          <c:showVal val="0"/>
          <c:showCatName val="0"/>
          <c:showSerName val="0"/>
          <c:showPercent val="1"/>
          <c:showBubbleSize val="0"/>
          <c:extLst>
            <c:ext xmlns:c15="http://schemas.microsoft.com/office/drawing/2012/chart" uri="{CE6537A1-D6FC-4f65-9D91-7224C49458BB}"/>
          </c:extLst>
        </c:dLbl>
      </c:pivotFmt>
      <c:pivotFmt>
        <c:idx val="28"/>
        <c:spPr>
          <a:solidFill>
            <a:srgbClr val="FFC267"/>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400" b="1" i="0" u="none" strike="noStrike" kern="1200" spc="0" baseline="0">
                  <a:solidFill>
                    <a:schemeClr val="tx1"/>
                  </a:solidFill>
                  <a:latin typeface="+mn-lt"/>
                  <a:ea typeface="+mn-ea"/>
                  <a:cs typeface="+mn-cs"/>
                </a:defRPr>
              </a:pPr>
              <a:endParaRPr lang="en-US"/>
            </a:p>
          </c:txPr>
          <c:dLblPos val="outEnd"/>
          <c:showLegendKey val="0"/>
          <c:showVal val="0"/>
          <c:showCatName val="0"/>
          <c:showSerName val="0"/>
          <c:showPercent val="1"/>
          <c:showBubbleSize val="0"/>
          <c:extLst>
            <c:ext xmlns:c15="http://schemas.microsoft.com/office/drawing/2012/chart" uri="{CE6537A1-D6FC-4f65-9D91-7224C49458BB}"/>
          </c:extLst>
        </c:dLbl>
      </c:pivotFmt>
      <c:pivotFmt>
        <c:idx val="29"/>
        <c:spPr>
          <a:solidFill>
            <a:srgbClr val="FF7D67"/>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400" b="1" i="0" u="none" strike="noStrike" kern="1200" spc="0" baseline="0">
                  <a:solidFill>
                    <a:schemeClr val="tx1"/>
                  </a:solidFill>
                  <a:latin typeface="+mn-lt"/>
                  <a:ea typeface="+mn-ea"/>
                  <a:cs typeface="+mn-cs"/>
                </a:defRPr>
              </a:pPr>
              <a:endParaRPr lang="en-US"/>
            </a:p>
          </c:txPr>
          <c:dLblPos val="outEnd"/>
          <c:showLegendKey val="0"/>
          <c:showVal val="0"/>
          <c:showCatName val="0"/>
          <c:showSerName val="0"/>
          <c:showPercent val="1"/>
          <c:showBubbleSize val="0"/>
          <c:extLst>
            <c:ext xmlns:c15="http://schemas.microsoft.com/office/drawing/2012/chart" uri="{CE6537A1-D6FC-4f65-9D91-7224C49458BB}"/>
          </c:extLst>
        </c:dLbl>
      </c:pivotFmt>
      <c:pivotFmt>
        <c:idx val="30"/>
        <c:spPr>
          <a:solidFill>
            <a:schemeClr val="accent1"/>
          </a:solidFill>
          <a:ln>
            <a:noFill/>
          </a:ln>
          <a:effectLst>
            <a:outerShdw blurRad="63500" sx="102000" sy="102000" algn="ctr" rotWithShape="0">
              <a:prstClr val="black">
                <a:alpha val="20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1"/>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2"/>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3"/>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4"/>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5"/>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6"/>
        <c:spPr>
          <a:solidFill>
            <a:srgbClr val="99BD66"/>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37"/>
        <c:spPr>
          <a:solidFill>
            <a:srgbClr val="C1FFC1"/>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38"/>
        <c:spPr>
          <a:solidFill>
            <a:srgbClr val="FFFF66"/>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39"/>
        <c:spPr>
          <a:solidFill>
            <a:srgbClr val="FFC267"/>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40"/>
        <c:spPr>
          <a:solidFill>
            <a:srgbClr val="FF7D67"/>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41"/>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42"/>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43"/>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44"/>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45"/>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46"/>
        <c:spPr>
          <a:solidFill>
            <a:schemeClr val="accent1"/>
          </a:solidFill>
          <a:ln w="15875" cmpd="tri">
            <a:solidFill>
              <a:schemeClr val="tx1"/>
            </a:solidFill>
          </a:ln>
          <a:effectLst>
            <a:outerShdw blurRad="50800" dist="63500" dir="2700000" algn="tl" rotWithShape="0">
              <a:prstClr val="black">
                <a:alpha val="40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47"/>
        <c:spPr>
          <a:solidFill>
            <a:srgbClr val="99BD66"/>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48"/>
        <c:spPr>
          <a:solidFill>
            <a:srgbClr val="C1FFC1"/>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49"/>
        <c:spPr>
          <a:solidFill>
            <a:srgbClr val="FFFF66"/>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50"/>
        <c:spPr>
          <a:solidFill>
            <a:srgbClr val="FFC267"/>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51"/>
        <c:spPr>
          <a:solidFill>
            <a:srgbClr val="FF7D67"/>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52"/>
        <c:spPr>
          <a:solidFill>
            <a:schemeClr val="accent1"/>
          </a:solidFill>
          <a:ln>
            <a:noFill/>
          </a:ln>
          <a:effectLst>
            <a:outerShdw blurRad="63500" sx="102000" sy="102000" algn="ctr" rotWithShape="0">
              <a:prstClr val="black">
                <a:alpha val="20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53"/>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54"/>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55"/>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56"/>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57"/>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58"/>
        <c:spPr>
          <a:solidFill>
            <a:schemeClr val="accent1"/>
          </a:solidFill>
          <a:ln w="15875" cmpd="tri">
            <a:solidFill>
              <a:schemeClr val="tx1"/>
            </a:solidFill>
          </a:ln>
          <a:effectLst>
            <a:outerShdw blurRad="50800" dist="63500" dir="2700000" algn="tl" rotWithShape="0">
              <a:prstClr val="black">
                <a:alpha val="40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59"/>
        <c:spPr>
          <a:solidFill>
            <a:srgbClr val="99BD66"/>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60"/>
        <c:spPr>
          <a:solidFill>
            <a:srgbClr val="C1FFC1"/>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61"/>
        <c:spPr>
          <a:solidFill>
            <a:srgbClr val="FFFF66"/>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62"/>
        <c:spPr>
          <a:solidFill>
            <a:srgbClr val="FFC267"/>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63"/>
        <c:spPr>
          <a:solidFill>
            <a:srgbClr val="FF7D67"/>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64"/>
        <c:spPr>
          <a:solidFill>
            <a:schemeClr val="accent1"/>
          </a:solidFill>
          <a:ln>
            <a:noFill/>
          </a:ln>
          <a:effectLst>
            <a:outerShdw blurRad="63500" sx="102000" sy="102000" algn="ctr" rotWithShape="0">
              <a:prstClr val="black">
                <a:alpha val="20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65"/>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66"/>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67"/>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68"/>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69"/>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70"/>
        <c:spPr>
          <a:solidFill>
            <a:schemeClr val="accent1"/>
          </a:solidFill>
          <a:ln w="15875" cmpd="tri">
            <a:solidFill>
              <a:schemeClr val="tx1"/>
            </a:solidFill>
          </a:ln>
          <a:effectLst>
            <a:outerShdw blurRad="50800" dist="63500" dir="2700000" algn="tl" rotWithShape="0">
              <a:prstClr val="black">
                <a:alpha val="40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71"/>
        <c:spPr>
          <a:solidFill>
            <a:srgbClr val="99BD66"/>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72"/>
        <c:spPr>
          <a:solidFill>
            <a:srgbClr val="C1FFC1"/>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73"/>
        <c:spPr>
          <a:solidFill>
            <a:schemeClr val="accent1"/>
          </a:solidFill>
          <a:ln>
            <a:noFill/>
          </a:ln>
          <a:effectLst>
            <a:outerShdw blurRad="63500" sx="102000" sy="102000" algn="ctr" rotWithShape="0">
              <a:prstClr val="black">
                <a:alpha val="20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74"/>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75"/>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76"/>
        <c:spPr>
          <a:solidFill>
            <a:schemeClr val="accent1"/>
          </a:solidFill>
          <a:ln w="15875" cmpd="tri">
            <a:solidFill>
              <a:schemeClr val="tx1"/>
            </a:solidFill>
          </a:ln>
          <a:effectLst>
            <a:outerShdw blurRad="50800" dist="63500" dir="2700000" algn="tl" rotWithShape="0">
              <a:prstClr val="black">
                <a:alpha val="40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77"/>
        <c:spPr>
          <a:solidFill>
            <a:srgbClr val="99BD66"/>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78"/>
        <c:spPr>
          <a:solidFill>
            <a:srgbClr val="FF7D67"/>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79"/>
        <c:spPr>
          <a:solidFill>
            <a:schemeClr val="accent1"/>
          </a:solidFill>
          <a:ln>
            <a:noFill/>
          </a:ln>
          <a:effectLst>
            <a:outerShdw blurRad="63500" sx="102000" sy="102000" algn="ctr" rotWithShape="0">
              <a:prstClr val="black">
                <a:alpha val="20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80"/>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81"/>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82"/>
        <c:spPr>
          <a:solidFill>
            <a:schemeClr val="accent1"/>
          </a:solidFill>
          <a:ln w="15875" cmpd="tri">
            <a:solidFill>
              <a:schemeClr val="tx1"/>
            </a:solidFill>
          </a:ln>
          <a:effectLst>
            <a:outerShdw blurRad="50800" dist="63500" dir="2700000" algn="tl" rotWithShape="0">
              <a:prstClr val="black">
                <a:alpha val="40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83"/>
        <c:spPr>
          <a:solidFill>
            <a:srgbClr val="99BD66"/>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84"/>
        <c:spPr>
          <a:solidFill>
            <a:srgbClr val="FF7D67"/>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85"/>
        <c:spPr>
          <a:solidFill>
            <a:schemeClr val="accent1"/>
          </a:solidFill>
          <a:ln>
            <a:noFill/>
          </a:ln>
          <a:effectLst>
            <a:outerShdw blurRad="63500" sx="102000" sy="102000" algn="ctr" rotWithShape="0">
              <a:prstClr val="black">
                <a:alpha val="20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86"/>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87"/>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88"/>
        <c:spPr>
          <a:solidFill>
            <a:schemeClr val="accent1"/>
          </a:solidFill>
          <a:ln w="15875" cmpd="tri">
            <a:solidFill>
              <a:schemeClr val="tx1"/>
            </a:solidFill>
          </a:ln>
          <a:effectLst>
            <a:outerShdw blurRad="50800" dist="63500" dir="2700000" algn="tl" rotWithShape="0">
              <a:prstClr val="black">
                <a:alpha val="40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89"/>
        <c:spPr>
          <a:solidFill>
            <a:srgbClr val="99BD66"/>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90"/>
        <c:spPr>
          <a:solidFill>
            <a:srgbClr val="FF7D67"/>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91"/>
        <c:spPr>
          <a:solidFill>
            <a:schemeClr val="accent1"/>
          </a:solidFill>
          <a:ln>
            <a:noFill/>
          </a:ln>
          <a:effectLst>
            <a:outerShdw blurRad="63500" sx="102000" sy="102000" algn="ctr" rotWithShape="0">
              <a:prstClr val="black">
                <a:alpha val="20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92"/>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93"/>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s>
    <c:plotArea>
      <c:layout/>
      <c:pieChart>
        <c:varyColors val="1"/>
        <c:ser>
          <c:idx val="0"/>
          <c:order val="0"/>
          <c:tx>
            <c:strRef>
              <c:f>'Statistics October'!$C$43</c:f>
              <c:strCache>
                <c:ptCount val="1"/>
                <c:pt idx="0">
                  <c:v># Authorities</c:v>
                </c:pt>
              </c:strCache>
            </c:strRef>
          </c:tx>
          <c:spPr>
            <a:ln w="15875" cmpd="tri">
              <a:solidFill>
                <a:schemeClr val="tx1"/>
              </a:solidFill>
            </a:ln>
            <a:effectLst>
              <a:outerShdw blurRad="50800" dist="63500" dir="2700000" algn="tl" rotWithShape="0">
                <a:prstClr val="black">
                  <a:alpha val="40000"/>
                </a:prstClr>
              </a:outerShdw>
            </a:effectLst>
          </c:spPr>
          <c:explosion val="3"/>
          <c:dPt>
            <c:idx val="0"/>
            <c:bubble3D val="0"/>
            <c:spPr>
              <a:solidFill>
                <a:srgbClr val="99BD66"/>
              </a:solidFill>
              <a:ln w="15875" cmpd="tri">
                <a:solidFill>
                  <a:schemeClr val="tx1"/>
                </a:solidFill>
              </a:ln>
              <a:effectLst>
                <a:outerShdw blurRad="50800" dist="63500" dir="2700000" algn="tl" rotWithShape="0">
                  <a:prstClr val="black">
                    <a:alpha val="40000"/>
                  </a:prstClr>
                </a:outerShdw>
              </a:effectLst>
            </c:spPr>
            <c:extLst>
              <c:ext xmlns:c16="http://schemas.microsoft.com/office/drawing/2014/chart" uri="{C3380CC4-5D6E-409C-BE32-E72D297353CC}">
                <c16:uniqueId val="{00000001-F02C-4449-992D-16BDEBBC483D}"/>
              </c:ext>
            </c:extLst>
          </c:dPt>
          <c:dPt>
            <c:idx val="1"/>
            <c:bubble3D val="0"/>
            <c:spPr>
              <a:solidFill>
                <a:srgbClr val="FF7D67"/>
              </a:solidFill>
              <a:ln w="15875" cmpd="tri">
                <a:solidFill>
                  <a:schemeClr val="tx1"/>
                </a:solidFill>
              </a:ln>
              <a:effectLst>
                <a:outerShdw blurRad="50800" dist="63500" dir="2700000" algn="tl" rotWithShape="0">
                  <a:prstClr val="black">
                    <a:alpha val="40000"/>
                  </a:prstClr>
                </a:outerShdw>
              </a:effectLst>
            </c:spPr>
            <c:extLst>
              <c:ext xmlns:c16="http://schemas.microsoft.com/office/drawing/2014/chart" uri="{C3380CC4-5D6E-409C-BE32-E72D297353CC}">
                <c16:uniqueId val="{00000003-F02C-4449-992D-16BDEBBC483D}"/>
              </c:ext>
            </c:extLst>
          </c:dPt>
          <c:dPt>
            <c:idx val="2"/>
            <c:bubble3D val="0"/>
            <c:spPr>
              <a:solidFill>
                <a:schemeClr val="accent3"/>
              </a:solidFill>
              <a:ln w="15875" cmpd="tri">
                <a:solidFill>
                  <a:schemeClr val="tx1"/>
                </a:solidFill>
              </a:ln>
              <a:effectLst>
                <a:outerShdw blurRad="50800" dist="63500" dir="2700000" algn="tl" rotWithShape="0">
                  <a:prstClr val="black">
                    <a:alpha val="40000"/>
                  </a:prstClr>
                </a:outerShdw>
              </a:effectLst>
            </c:spPr>
            <c:extLst>
              <c:ext xmlns:c16="http://schemas.microsoft.com/office/drawing/2014/chart" uri="{C3380CC4-5D6E-409C-BE32-E72D297353CC}">
                <c16:uniqueId val="{00000005-F02C-4449-992D-16BDEBBC483D}"/>
              </c:ext>
            </c:extLst>
          </c:dPt>
          <c:dPt>
            <c:idx val="3"/>
            <c:bubble3D val="0"/>
            <c:spPr>
              <a:solidFill>
                <a:schemeClr val="accent4"/>
              </a:solidFill>
              <a:ln w="15875" cmpd="tri">
                <a:solidFill>
                  <a:schemeClr val="tx1"/>
                </a:solidFill>
              </a:ln>
              <a:effectLst>
                <a:outerShdw blurRad="50800" dist="63500" dir="2700000" algn="tl" rotWithShape="0">
                  <a:prstClr val="black">
                    <a:alpha val="40000"/>
                  </a:prstClr>
                </a:outerShdw>
              </a:effectLst>
            </c:spPr>
            <c:extLst>
              <c:ext xmlns:c16="http://schemas.microsoft.com/office/drawing/2014/chart" uri="{C3380CC4-5D6E-409C-BE32-E72D297353CC}">
                <c16:uniqueId val="{00000007-F02C-4449-992D-16BDEBBC483D}"/>
              </c:ext>
            </c:extLst>
          </c:dPt>
          <c:dPt>
            <c:idx val="4"/>
            <c:bubble3D val="0"/>
            <c:spPr>
              <a:solidFill>
                <a:schemeClr val="accent5"/>
              </a:solidFill>
              <a:ln w="15875" cmpd="tri">
                <a:solidFill>
                  <a:schemeClr val="tx1"/>
                </a:solidFill>
              </a:ln>
              <a:effectLst>
                <a:outerShdw blurRad="50800" dist="63500" dir="2700000" algn="tl" rotWithShape="0">
                  <a:prstClr val="black">
                    <a:alpha val="40000"/>
                  </a:prstClr>
                </a:outerShdw>
              </a:effectLst>
            </c:spPr>
            <c:extLst>
              <c:ext xmlns:c16="http://schemas.microsoft.com/office/drawing/2014/chart" uri="{C3380CC4-5D6E-409C-BE32-E72D297353CC}">
                <c16:uniqueId val="{00000009-F02C-4449-992D-16BDEBBC483D}"/>
              </c:ext>
            </c:extLst>
          </c:dPt>
          <c:dLbls>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1-F02C-4449-992D-16BDEBBC483D}"/>
                </c:ext>
              </c:extLst>
            </c:dLbl>
            <c:dLbl>
              <c:idx val="1"/>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3-F02C-4449-992D-16BDEBBC483D}"/>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'Statistics October'!$B$44:$B$46</c:f>
              <c:strCache>
                <c:ptCount val="2"/>
                <c:pt idx="0">
                  <c:v>Yes</c:v>
                </c:pt>
                <c:pt idx="1">
                  <c:v>No</c:v>
                </c:pt>
              </c:strCache>
            </c:strRef>
          </c:cat>
          <c:val>
            <c:numRef>
              <c:f>'Statistics October'!$C$44:$C$46</c:f>
              <c:numCache>
                <c:formatCode>0</c:formatCode>
                <c:ptCount val="2"/>
                <c:pt idx="0">
                  <c:v>148</c:v>
                </c:pt>
                <c:pt idx="1">
                  <c:v>139</c:v>
                </c:pt>
              </c:numCache>
            </c:numRef>
          </c:val>
          <c:extLst>
            <c:ext xmlns:c16="http://schemas.microsoft.com/office/drawing/2014/chart" uri="{C3380CC4-5D6E-409C-BE32-E72D297353CC}">
              <c16:uniqueId val="{0000000A-F02C-4449-992D-16BDEBBC483D}"/>
            </c:ext>
          </c:extLst>
        </c:ser>
        <c:ser>
          <c:idx val="1"/>
          <c:order val="1"/>
          <c:tx>
            <c:strRef>
              <c:f>'Statistics October'!$D$43</c:f>
              <c:strCache>
                <c:ptCount val="1"/>
                <c:pt idx="0">
                  <c:v>% Authorities</c:v>
                </c:pt>
              </c:strCache>
            </c:strRef>
          </c:tx>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C-F02C-4449-992D-16BDEBBC483D}"/>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E-F02C-4449-992D-16BDEBBC483D}"/>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0-F02C-4449-992D-16BDEBBC483D}"/>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2-F02C-4449-992D-16BDEBBC483D}"/>
              </c:ext>
            </c:extLst>
          </c:dPt>
          <c:dPt>
            <c:idx val="4"/>
            <c:bubble3D val="0"/>
            <c:spPr>
              <a:solidFill>
                <a:schemeClr val="accent5"/>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4-F02C-4449-992D-16BDEBBC483D}"/>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0C-F02C-4449-992D-16BDEBBC483D}"/>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0E-F02C-4449-992D-16BDEBBC483D}"/>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'Statistics October'!$B$44:$B$46</c:f>
              <c:strCache>
                <c:ptCount val="2"/>
                <c:pt idx="0">
                  <c:v>Yes</c:v>
                </c:pt>
                <c:pt idx="1">
                  <c:v>No</c:v>
                </c:pt>
              </c:strCache>
            </c:strRef>
          </c:cat>
          <c:val>
            <c:numRef>
              <c:f>'Statistics October'!$D$44:$D$46</c:f>
              <c:numCache>
                <c:formatCode>0%</c:formatCode>
                <c:ptCount val="2"/>
                <c:pt idx="0">
                  <c:v>0.51567944250871078</c:v>
                </c:pt>
                <c:pt idx="1">
                  <c:v>0.48432055749128922</c:v>
                </c:pt>
              </c:numCache>
            </c:numRef>
          </c:val>
          <c:extLst>
            <c:ext xmlns:c16="http://schemas.microsoft.com/office/drawing/2014/chart" uri="{C3380CC4-5D6E-409C-BE32-E72D297353CC}">
              <c16:uniqueId val="{00000015-F02C-4449-992D-16BDEBBC483D}"/>
            </c:ext>
          </c:extLst>
        </c:ser>
        <c:dLbls>
          <c:dLblPos val="outEnd"/>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a:outerShdw blurRad="50800" dist="127000" dir="2700000" algn="tl" rotWithShape="0">
        <a:prstClr val="black">
          <a:alpha val="40000"/>
        </a:prstClr>
      </a:outerShdw>
    </a:effectLst>
    <a:scene3d>
      <a:camera prst="orthographicFront"/>
      <a:lightRig rig="threePt" dir="t"/>
    </a:scene3d>
    <a:sp3d>
      <a:bevelT/>
    </a:sp3d>
  </c:spPr>
  <c:txPr>
    <a:bodyPr/>
    <a:lstStyle/>
    <a:p>
      <a:pPr>
        <a:defRPr/>
      </a:pPr>
      <a:endParaRPr lang="en-US"/>
    </a:p>
  </c:txPr>
  <c:externalData r:id="rId4">
    <c:autoUpdate val="0"/>
  </c:externalData>
  <c:extLst>
    <c:ext xmlns:c14="http://schemas.microsoft.com/office/drawing/2007/8/2/chart" uri="{781A3756-C4B2-4CAC-9D66-4F8BD8637D16}">
      <c14:pivotOptions>
        <c14:dropZoneFilter val="1"/>
        <c14:dropZoneData val="1"/>
        <c14:dropZoneSeries val="1"/>
      </c14:pivotOptions>
    </c:ext>
    <c:ext xmlns:c16="http://schemas.microsoft.com/office/drawing/2014/chart" uri="{E28EC0CA-F0BB-4C9C-879D-F8772B89E7AC}">
      <c16:pivotOptions16>
        <c16:showExpandCollapseFieldButtons val="1"/>
      </c16:pivotOptions16>
    </c:ext>
  </c:extLst>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[Licensing authorities’ approach to the Equality Act 2010 provisions on taxi wheelchair discrimination.xlsx]Statistics October!GradeGlobalStatsOct</c:name>
    <c:fmtId val="-1"/>
  </c:pivotSource>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en-US" sz="1800" b="1" i="0" cap="none" baseline="0">
                <a:effectLst/>
              </a:rPr>
              <a:t>GB Taxi Licensing authorities: </a:t>
            </a:r>
            <a:endParaRPr lang="en-GB" cap="none" baseline="0">
              <a:effectLst/>
            </a:endParaRPr>
          </a:p>
          <a:p>
            <a:pPr>
              <a:defRPr sz="1600" b="1" i="0" u="none" strike="noStrike" kern="1200" cap="all" baseline="0">
                <a:solidFill>
                  <a:schemeClr val="tx1">
                    <a:lumMod val="65000"/>
                    <a:lumOff val="35000"/>
                  </a:schemeClr>
                </a:solidFill>
                <a:latin typeface="+mn-lt"/>
                <a:ea typeface="+mn-ea"/>
                <a:cs typeface="+mn-cs"/>
              </a:defRPr>
            </a:pPr>
            <a:r>
              <a:rPr lang="en-US" sz="1800" b="1" i="0" cap="none" baseline="0">
                <a:effectLst/>
              </a:rPr>
              <a:t>S167 Grade November 2017</a:t>
            </a:r>
            <a:endParaRPr lang="en-GB" cap="none" baseline="0">
              <a:effectLst/>
            </a:endParaRPr>
          </a:p>
        </c:rich>
      </c:tx>
      <c:overlay val="0"/>
      <c:spPr>
        <a:noFill/>
        <a:ln>
          <a:noFill/>
        </a:ln>
        <a:effectLst/>
      </c:spPr>
    </c:title>
    <c:autoTitleDeleted val="0"/>
    <c:pivotFmts>
      <c:pivotFmt>
        <c:idx val="0"/>
        <c:spPr>
          <a:solidFill>
            <a:schemeClr val="accent1"/>
          </a:solidFill>
          <a:ln>
            <a:noFill/>
          </a:ln>
          <a:effectLst>
            <a:outerShdw blurRad="63500" sx="102000" sy="102000" algn="ctr" rotWithShape="0">
              <a:prstClr val="black">
                <a:alpha val="20000"/>
              </a:prstClr>
            </a:outerShdw>
          </a:effectLst>
        </c:spPr>
        <c:marker>
          <c:symbol val="circle"/>
          <c:size val="6"/>
        </c:marke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1"/>
        <c:spPr>
          <a:solidFill>
            <a:schemeClr val="accent1"/>
          </a:solidFill>
          <a:ln>
            <a:noFill/>
          </a:ln>
          <a:effectLst>
            <a:outerShdw blurRad="63500" sx="102000" sy="102000" algn="ctr" rotWithShape="0">
              <a:prstClr val="black">
                <a:alpha val="20000"/>
              </a:prstClr>
            </a:outerShdw>
          </a:effectLst>
        </c:spPr>
        <c:marker>
          <c:symbol val="circle"/>
          <c:size val="6"/>
        </c:marke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2"/>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15:xForSave val="1"/>
            </c:ext>
          </c:extLst>
        </c:dLbl>
      </c:pivotFmt>
      <c:pivotFmt>
        <c:idx val="3"/>
        <c:spPr>
          <a:solidFill>
            <a:schemeClr val="accent2"/>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15:xForSave val="1"/>
            </c:ext>
          </c:extLst>
        </c:dLbl>
      </c:pivotFmt>
      <c:pivotFmt>
        <c:idx val="4"/>
        <c:spPr>
          <a:solidFill>
            <a:schemeClr val="accent3"/>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15:xForSave val="1"/>
            </c:ext>
          </c:extLst>
        </c:dLbl>
      </c:pivotFmt>
      <c:pivotFmt>
        <c:idx val="5"/>
        <c:spPr>
          <a:solidFill>
            <a:schemeClr val="accent4"/>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15:xForSave val="1"/>
            </c:ext>
          </c:extLst>
        </c:dLbl>
      </c:pivotFmt>
      <c:pivotFmt>
        <c:idx val="6"/>
        <c:spPr>
          <a:solidFill>
            <a:schemeClr val="accent5"/>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15:xForSave val="1"/>
            </c:ext>
          </c:extLst>
        </c:dLbl>
      </c:pivotFmt>
      <c:pivotFmt>
        <c:idx val="7"/>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15:xForSave val="1"/>
            </c:ext>
          </c:extLst>
        </c:dLbl>
      </c:pivotFmt>
      <c:pivotFmt>
        <c:idx val="8"/>
        <c:spPr>
          <a:solidFill>
            <a:schemeClr val="accent2"/>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15:xForSave val="1"/>
            </c:ext>
          </c:extLst>
        </c:dLbl>
      </c:pivotFmt>
      <c:pivotFmt>
        <c:idx val="9"/>
        <c:spPr>
          <a:solidFill>
            <a:schemeClr val="accent3"/>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15:xForSave val="1"/>
            </c:ext>
          </c:extLst>
        </c:dLbl>
      </c:pivotFmt>
      <c:pivotFmt>
        <c:idx val="10"/>
        <c:spPr>
          <a:solidFill>
            <a:schemeClr val="accent4"/>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15:xForSave val="1"/>
            </c:ext>
          </c:extLst>
        </c:dLbl>
      </c:pivotFmt>
      <c:pivotFmt>
        <c:idx val="11"/>
        <c:spPr>
          <a:solidFill>
            <a:schemeClr val="accent5"/>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15:xForSave val="1"/>
            </c:ext>
          </c:extLst>
        </c:dLbl>
      </c:pivotFmt>
      <c:pivotFmt>
        <c:idx val="12"/>
        <c:spPr>
          <a:ln w="15875" cmpd="tri">
            <a:solidFill>
              <a:schemeClr val="tx1"/>
            </a:solidFill>
          </a:ln>
          <a:effectLst>
            <a:outerShdw blurRad="50800" dist="63500" dir="2700000" algn="tl" rotWithShape="0">
              <a:prstClr val="black">
                <a:alpha val="40000"/>
              </a:prstClr>
            </a:outerShdw>
          </a:effectLst>
        </c:spPr>
        <c:marker>
          <c:symbol val="none"/>
        </c:marker>
        <c:dLbl>
          <c:idx val="0"/>
          <c:spPr>
            <a:solidFill>
              <a:sysClr val="window" lastClr="FFFFFF"/>
            </a:solidFill>
          </c:spPr>
          <c:txPr>
            <a:bodyPr rot="0" spcFirstLastPara="1" vertOverflow="ellipsis" vert="horz" wrap="square" lIns="38100" tIns="19050" rIns="38100" bIns="19050" anchor="ctr" anchorCtr="1">
              <a:spAutoFit/>
            </a:bodyPr>
            <a:lstStyle/>
            <a:p>
              <a:pPr>
                <a:defRPr sz="1400" b="1" i="0" u="none" strike="noStrike" kern="1200" spc="0" baseline="0">
                  <a:solidFill>
                    <a:schemeClr val="tx1"/>
                  </a:solidFill>
                  <a:latin typeface="+mn-lt"/>
                  <a:ea typeface="+mn-ea"/>
                  <a:cs typeface="+mn-cs"/>
                </a:defRPr>
              </a:pPr>
              <a:endParaRPr lang="en-US"/>
            </a:p>
          </c:txPr>
          <c:showLegendKey val="0"/>
          <c:showVal val="0"/>
          <c:showCatName val="0"/>
          <c:showSerName val="0"/>
          <c:showPercent val="1"/>
          <c:showBubbleSize val="0"/>
          <c:separator>
</c:separator>
          <c:extLst>
            <c:ext xmlns:c15="http://schemas.microsoft.com/office/drawing/2012/chart" uri="{CE6537A1-D6FC-4f65-9D91-7224C49458BB}"/>
          </c:extLst>
        </c:dLbl>
      </c:pivotFmt>
      <c:pivotFmt>
        <c:idx val="13"/>
        <c:spPr>
          <a:solidFill>
            <a:srgbClr val="99BD66"/>
          </a:solidFill>
          <a:ln w="15875" cmpd="tri">
            <a:solidFill>
              <a:schemeClr val="tx1"/>
            </a:solidFill>
          </a:ln>
          <a:effectLst>
            <a:outerShdw blurRad="50800" dist="63500" dir="2700000" algn="tl" rotWithShape="0">
              <a:prstClr val="black">
                <a:alpha val="40000"/>
              </a:prstClr>
            </a:outerShdw>
          </a:effectLst>
        </c:spPr>
        <c:dLbl>
          <c:idx val="0"/>
          <c:spPr>
            <a:solidFill>
              <a:sysClr val="window" lastClr="FFFFFF"/>
            </a:solidFill>
            <a:ln>
              <a:noFill/>
            </a:ln>
            <a:effectLst/>
          </c:spPr>
          <c:txPr>
            <a:bodyPr rot="0" spcFirstLastPara="1" vertOverflow="ellipsis" vert="horz" wrap="square" lIns="38100" tIns="19050" rIns="38100" bIns="19050" anchor="ctr" anchorCtr="1">
              <a:spAutoFit/>
            </a:bodyPr>
            <a:lstStyle/>
            <a:p>
              <a:pPr>
                <a:defRPr sz="14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separator>
</c:separator>
          <c:extLst>
            <c:ext xmlns:c15="http://schemas.microsoft.com/office/drawing/2012/chart" uri="{CE6537A1-D6FC-4f65-9D91-7224C49458BB}"/>
          </c:extLst>
        </c:dLbl>
      </c:pivotFmt>
      <c:pivotFmt>
        <c:idx val="14"/>
        <c:spPr>
          <a:solidFill>
            <a:srgbClr val="C1FFC1"/>
          </a:solidFill>
          <a:ln w="15875" cmpd="tri">
            <a:solidFill>
              <a:schemeClr val="tx1"/>
            </a:solidFill>
          </a:ln>
          <a:effectLst>
            <a:outerShdw blurRad="50800" dist="63500" dir="2700000" algn="tl" rotWithShape="0">
              <a:prstClr val="black">
                <a:alpha val="40000"/>
              </a:prstClr>
            </a:outerShdw>
          </a:effectLst>
        </c:spPr>
        <c:dLbl>
          <c:idx val="0"/>
          <c:spPr>
            <a:solidFill>
              <a:sysClr val="window" lastClr="FFFFFF"/>
            </a:solidFill>
            <a:ln>
              <a:noFill/>
            </a:ln>
            <a:effectLst/>
          </c:spPr>
          <c:txPr>
            <a:bodyPr rot="0" spcFirstLastPara="1" vertOverflow="ellipsis" vert="horz" wrap="square" lIns="38100" tIns="19050" rIns="38100" bIns="19050" anchor="ctr" anchorCtr="1">
              <a:spAutoFit/>
            </a:bodyPr>
            <a:lstStyle/>
            <a:p>
              <a:pPr>
                <a:defRPr sz="14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separator>
</c:separator>
          <c:extLst>
            <c:ext xmlns:c15="http://schemas.microsoft.com/office/drawing/2012/chart" uri="{CE6537A1-D6FC-4f65-9D91-7224C49458BB}"/>
          </c:extLst>
        </c:dLbl>
      </c:pivotFmt>
      <c:pivotFmt>
        <c:idx val="15"/>
        <c:spPr>
          <a:solidFill>
            <a:srgbClr val="FFFF66"/>
          </a:solidFill>
          <a:ln w="15875" cmpd="tri">
            <a:solidFill>
              <a:schemeClr val="tx1"/>
            </a:solidFill>
          </a:ln>
          <a:effectLst>
            <a:outerShdw blurRad="50800" dist="63500" dir="2700000" algn="tl" rotWithShape="0">
              <a:prstClr val="black">
                <a:alpha val="40000"/>
              </a:prstClr>
            </a:outerShdw>
          </a:effectLst>
        </c:spPr>
        <c:dLbl>
          <c:idx val="0"/>
          <c:layout>
            <c:manualLayout>
              <c:x val="0.1661872970094137"/>
              <c:y val="-1.8763288391768128E-2"/>
            </c:manualLayout>
          </c:layout>
          <c:spPr>
            <a:solidFill>
              <a:sysClr val="window" lastClr="FFFFFF"/>
            </a:solidFill>
            <a:ln>
              <a:noFill/>
            </a:ln>
            <a:effectLst/>
          </c:spPr>
          <c:txPr>
            <a:bodyPr rot="0" spcFirstLastPara="1" vertOverflow="ellipsis" vert="horz" wrap="square" lIns="38100" tIns="19050" rIns="38100" bIns="19050" anchor="ctr" anchorCtr="1">
              <a:spAutoFit/>
            </a:bodyPr>
            <a:lstStyle/>
            <a:p>
              <a:pPr>
                <a:defRPr sz="1400" b="1" i="0" u="none" strike="noStrike" kern="1200" spc="0" baseline="0">
                  <a:solidFill>
                    <a:schemeClr val="tx1"/>
                  </a:solidFill>
                  <a:latin typeface="+mn-lt"/>
                  <a:ea typeface="+mn-ea"/>
                  <a:cs typeface="+mn-cs"/>
                </a:defRPr>
              </a:pPr>
              <a:endParaRPr lang="en-US"/>
            </a:p>
          </c:txPr>
          <c:dLblPos val="bestFit"/>
          <c:showLegendKey val="0"/>
          <c:showVal val="0"/>
          <c:showCatName val="1"/>
          <c:showSerName val="0"/>
          <c:showPercent val="1"/>
          <c:showBubbleSize val="0"/>
          <c:separator>
</c:separator>
          <c:extLst>
            <c:ext xmlns:c15="http://schemas.microsoft.com/office/drawing/2012/chart" uri="{CE6537A1-D6FC-4f65-9D91-7224C49458BB}"/>
          </c:extLst>
        </c:dLbl>
      </c:pivotFmt>
      <c:pivotFmt>
        <c:idx val="16"/>
        <c:spPr>
          <a:solidFill>
            <a:srgbClr val="FFC267"/>
          </a:solidFill>
          <a:ln w="15875" cmpd="tri">
            <a:solidFill>
              <a:schemeClr val="tx1"/>
            </a:solidFill>
          </a:ln>
          <a:effectLst>
            <a:outerShdw blurRad="50800" dist="63500" dir="2700000" algn="tl" rotWithShape="0">
              <a:prstClr val="black">
                <a:alpha val="40000"/>
              </a:prstClr>
            </a:outerShdw>
          </a:effectLst>
        </c:spPr>
        <c:dLbl>
          <c:idx val="0"/>
          <c:spPr>
            <a:solidFill>
              <a:sysClr val="window" lastClr="FFFFFF"/>
            </a:solidFill>
            <a:ln>
              <a:noFill/>
            </a:ln>
            <a:effectLst/>
          </c:spPr>
          <c:txPr>
            <a:bodyPr rot="0" spcFirstLastPara="1" vertOverflow="ellipsis" vert="horz" wrap="square" lIns="38100" tIns="19050" rIns="38100" bIns="19050" anchor="ctr" anchorCtr="1">
              <a:spAutoFit/>
            </a:bodyPr>
            <a:lstStyle/>
            <a:p>
              <a:pPr>
                <a:defRPr sz="14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separator>
</c:separator>
          <c:extLst>
            <c:ext xmlns:c15="http://schemas.microsoft.com/office/drawing/2012/chart" uri="{CE6537A1-D6FC-4f65-9D91-7224C49458BB}"/>
          </c:extLst>
        </c:dLbl>
      </c:pivotFmt>
      <c:pivotFmt>
        <c:idx val="17"/>
        <c:spPr>
          <a:solidFill>
            <a:srgbClr val="FF7D67"/>
          </a:solidFill>
          <a:ln w="15875" cmpd="tri">
            <a:solidFill>
              <a:schemeClr val="tx1"/>
            </a:solidFill>
          </a:ln>
          <a:effectLst>
            <a:outerShdw blurRad="50800" dist="63500" dir="2700000" algn="tl" rotWithShape="0">
              <a:prstClr val="black">
                <a:alpha val="40000"/>
              </a:prstClr>
            </a:outerShdw>
          </a:effectLst>
        </c:spPr>
        <c:dLbl>
          <c:idx val="0"/>
          <c:spPr>
            <a:solidFill>
              <a:sysClr val="window" lastClr="FFFFFF"/>
            </a:solidFill>
            <a:ln>
              <a:noFill/>
            </a:ln>
            <a:effectLst/>
          </c:spPr>
          <c:txPr>
            <a:bodyPr rot="0" spcFirstLastPara="1" vertOverflow="ellipsis" vert="horz" wrap="square" lIns="38100" tIns="19050" rIns="38100" bIns="19050" anchor="ctr" anchorCtr="1">
              <a:spAutoFit/>
            </a:bodyPr>
            <a:lstStyle/>
            <a:p>
              <a:pPr>
                <a:defRPr sz="14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separator>
</c:separator>
          <c:extLst>
            <c:ext xmlns:c15="http://schemas.microsoft.com/office/drawing/2012/chart" uri="{CE6537A1-D6FC-4f65-9D91-7224C49458BB}"/>
          </c:extLst>
        </c:dLbl>
      </c:pivotFmt>
      <c:pivotFmt>
        <c:idx val="18"/>
        <c:spPr>
          <a:solidFill>
            <a:schemeClr val="accent1"/>
          </a:solidFill>
          <a:ln>
            <a:noFill/>
          </a:ln>
          <a:effectLst>
            <a:outerShdw blurRad="63500" sx="102000" sy="102000" algn="ctr" rotWithShape="0">
              <a:prstClr val="black">
                <a:alpha val="20000"/>
              </a:prstClr>
            </a:outerShdw>
          </a:effectLst>
        </c:spPr>
        <c:marker>
          <c:symbol val="none"/>
        </c:marker>
        <c:dLbl>
          <c:idx val="0"/>
          <c:delete val="1"/>
          <c:extLst>
            <c:ext xmlns:c15="http://schemas.microsoft.com/office/drawing/2012/chart" uri="{CE6537A1-D6FC-4f65-9D91-7224C49458BB}"/>
          </c:extLst>
        </c:dLbl>
      </c:pivotFmt>
      <c:pivotFmt>
        <c:idx val="19"/>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20"/>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21"/>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22"/>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23"/>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24"/>
        <c:spPr>
          <a:solidFill>
            <a:srgbClr val="99BD66"/>
          </a:solidFill>
          <a:ln w="15875" cmpd="tri">
            <a:solidFill>
              <a:schemeClr val="tx1"/>
            </a:solidFill>
          </a:ln>
          <a:effectLst>
            <a:outerShdw blurRad="50800" dist="63500" dir="2700000" algn="tl" rotWithShape="0">
              <a:prstClr val="black">
                <a:alpha val="40000"/>
              </a:prstClr>
            </a:outerShdw>
          </a:effectLst>
        </c:spPr>
        <c:dLbl>
          <c:idx val="0"/>
          <c:spPr>
            <a:solidFill>
              <a:sysClr val="window" lastClr="FFFFFF"/>
            </a:solidFill>
            <a:ln>
              <a:noFill/>
            </a:ln>
            <a:effectLst/>
          </c:spPr>
          <c:txPr>
            <a:bodyPr rot="0" spcFirstLastPara="1" vertOverflow="ellipsis" vert="horz" wrap="square" lIns="38100" tIns="19050" rIns="38100" bIns="19050" anchor="ctr" anchorCtr="1">
              <a:spAutoFit/>
            </a:bodyPr>
            <a:lstStyle/>
            <a:p>
              <a:pPr>
                <a:defRPr sz="14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separator>
</c:separator>
          <c:extLst>
            <c:ext xmlns:c15="http://schemas.microsoft.com/office/drawing/2012/chart" uri="{CE6537A1-D6FC-4f65-9D91-7224C49458BB}"/>
          </c:extLst>
        </c:dLbl>
      </c:pivotFmt>
      <c:pivotFmt>
        <c:idx val="25"/>
        <c:spPr>
          <a:solidFill>
            <a:srgbClr val="C1FFC1"/>
          </a:solidFill>
          <a:ln w="15875" cmpd="tri">
            <a:solidFill>
              <a:schemeClr val="tx1"/>
            </a:solidFill>
          </a:ln>
          <a:effectLst>
            <a:outerShdw blurRad="50800" dist="63500" dir="2700000" algn="tl" rotWithShape="0">
              <a:prstClr val="black">
                <a:alpha val="40000"/>
              </a:prstClr>
            </a:outerShdw>
          </a:effectLst>
        </c:spPr>
        <c:dLbl>
          <c:idx val="0"/>
          <c:spPr>
            <a:solidFill>
              <a:sysClr val="window" lastClr="FFFFFF"/>
            </a:solidFill>
            <a:ln>
              <a:noFill/>
            </a:ln>
            <a:effectLst/>
          </c:spPr>
          <c:txPr>
            <a:bodyPr rot="0" spcFirstLastPara="1" vertOverflow="ellipsis" vert="horz" wrap="square" lIns="38100" tIns="19050" rIns="38100" bIns="19050" anchor="ctr" anchorCtr="1">
              <a:spAutoFit/>
            </a:bodyPr>
            <a:lstStyle/>
            <a:p>
              <a:pPr>
                <a:defRPr sz="14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separator>
</c:separator>
          <c:extLst>
            <c:ext xmlns:c15="http://schemas.microsoft.com/office/drawing/2012/chart" uri="{CE6537A1-D6FC-4f65-9D91-7224C49458BB}"/>
          </c:extLst>
        </c:dLbl>
      </c:pivotFmt>
      <c:pivotFmt>
        <c:idx val="26"/>
        <c:spPr>
          <a:solidFill>
            <a:srgbClr val="FFFF66"/>
          </a:solidFill>
          <a:ln w="15875" cmpd="tri">
            <a:solidFill>
              <a:schemeClr val="tx1"/>
            </a:solidFill>
          </a:ln>
          <a:effectLst>
            <a:outerShdw blurRad="50800" dist="63500" dir="2700000" algn="tl" rotWithShape="0">
              <a:prstClr val="black">
                <a:alpha val="40000"/>
              </a:prstClr>
            </a:outerShdw>
          </a:effectLst>
        </c:spPr>
        <c:dLbl>
          <c:idx val="0"/>
          <c:layout>
            <c:manualLayout>
              <c:x val="0.18919784582610177"/>
              <c:y val="-1.60805251456245E-2"/>
            </c:manualLayout>
          </c:layout>
          <c:spPr>
            <a:solidFill>
              <a:sysClr val="window" lastClr="FFFFFF"/>
            </a:solidFill>
            <a:ln>
              <a:noFill/>
            </a:ln>
            <a:effectLst/>
          </c:spPr>
          <c:txPr>
            <a:bodyPr rot="0" spcFirstLastPara="1" vertOverflow="ellipsis" vert="horz" wrap="square" lIns="38100" tIns="19050" rIns="38100" bIns="19050" anchor="ctr" anchorCtr="1">
              <a:spAutoFit/>
            </a:bodyPr>
            <a:lstStyle/>
            <a:p>
              <a:pPr>
                <a:defRPr sz="1400" b="1" i="0" u="none" strike="noStrike" kern="1200" spc="0" baseline="0">
                  <a:solidFill>
                    <a:schemeClr val="tx1"/>
                  </a:solidFill>
                  <a:latin typeface="+mn-lt"/>
                  <a:ea typeface="+mn-ea"/>
                  <a:cs typeface="+mn-cs"/>
                </a:defRPr>
              </a:pPr>
              <a:endParaRPr lang="en-US"/>
            </a:p>
          </c:txPr>
          <c:dLblPos val="bestFit"/>
          <c:showLegendKey val="0"/>
          <c:showVal val="0"/>
          <c:showCatName val="1"/>
          <c:showSerName val="0"/>
          <c:showPercent val="1"/>
          <c:showBubbleSize val="0"/>
          <c:separator>
</c:separator>
          <c:extLst>
            <c:ext xmlns:c15="http://schemas.microsoft.com/office/drawing/2012/chart" uri="{CE6537A1-D6FC-4f65-9D91-7224C49458BB}"/>
          </c:extLst>
        </c:dLbl>
      </c:pivotFmt>
      <c:pivotFmt>
        <c:idx val="27"/>
        <c:spPr>
          <a:solidFill>
            <a:srgbClr val="FFC267"/>
          </a:solidFill>
          <a:ln w="15875" cmpd="tri">
            <a:solidFill>
              <a:schemeClr val="tx1"/>
            </a:solidFill>
          </a:ln>
          <a:effectLst>
            <a:outerShdw blurRad="50800" dist="63500" dir="2700000" algn="tl" rotWithShape="0">
              <a:prstClr val="black">
                <a:alpha val="40000"/>
              </a:prstClr>
            </a:outerShdw>
          </a:effectLst>
        </c:spPr>
        <c:dLbl>
          <c:idx val="0"/>
          <c:spPr>
            <a:solidFill>
              <a:sysClr val="window" lastClr="FFFFFF"/>
            </a:solidFill>
            <a:ln>
              <a:noFill/>
            </a:ln>
            <a:effectLst/>
          </c:spPr>
          <c:txPr>
            <a:bodyPr rot="0" spcFirstLastPara="1" vertOverflow="ellipsis" vert="horz" wrap="square" lIns="38100" tIns="19050" rIns="38100" bIns="19050" anchor="ctr" anchorCtr="1">
              <a:spAutoFit/>
            </a:bodyPr>
            <a:lstStyle/>
            <a:p>
              <a:pPr>
                <a:defRPr sz="14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separator>
</c:separator>
          <c:extLst>
            <c:ext xmlns:c15="http://schemas.microsoft.com/office/drawing/2012/chart" uri="{CE6537A1-D6FC-4f65-9D91-7224C49458BB}"/>
          </c:extLst>
        </c:dLbl>
      </c:pivotFmt>
      <c:pivotFmt>
        <c:idx val="28"/>
        <c:spPr>
          <a:solidFill>
            <a:srgbClr val="FF7D67"/>
          </a:solidFill>
          <a:ln w="15875" cmpd="tri">
            <a:solidFill>
              <a:schemeClr val="tx1"/>
            </a:solidFill>
          </a:ln>
          <a:effectLst>
            <a:outerShdw blurRad="50800" dist="63500" dir="2700000" algn="tl" rotWithShape="0">
              <a:prstClr val="black">
                <a:alpha val="40000"/>
              </a:prstClr>
            </a:outerShdw>
          </a:effectLst>
        </c:spPr>
        <c:dLbl>
          <c:idx val="0"/>
          <c:spPr>
            <a:solidFill>
              <a:sysClr val="window" lastClr="FFFFFF"/>
            </a:solidFill>
            <a:ln>
              <a:noFill/>
            </a:ln>
            <a:effectLst/>
          </c:spPr>
          <c:txPr>
            <a:bodyPr rot="0" spcFirstLastPara="1" vertOverflow="ellipsis" vert="horz" wrap="square" lIns="38100" tIns="19050" rIns="38100" bIns="19050" anchor="ctr" anchorCtr="1">
              <a:spAutoFit/>
            </a:bodyPr>
            <a:lstStyle/>
            <a:p>
              <a:pPr>
                <a:defRPr sz="14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separator>
</c:separator>
          <c:extLst>
            <c:ext xmlns:c15="http://schemas.microsoft.com/office/drawing/2012/chart" uri="{CE6537A1-D6FC-4f65-9D91-7224C49458BB}"/>
          </c:extLst>
        </c:dLbl>
      </c:pivotFmt>
      <c:pivotFmt>
        <c:idx val="29"/>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0"/>
          <c:showCatName val="0"/>
          <c:showSerName val="0"/>
          <c:showPercent val="1"/>
          <c:showBubbleSize val="0"/>
          <c:extLst>
            <c:ext xmlns:c15="http://schemas.microsoft.com/office/drawing/2012/chart" uri="{CE6537A1-D6FC-4f65-9D91-7224C49458BB}"/>
          </c:extLst>
        </c:dLbl>
      </c:pivotFmt>
      <c:pivotFmt>
        <c:idx val="30"/>
        <c:spPr>
          <a:solidFill>
            <a:schemeClr val="accent1"/>
          </a:solidFill>
          <a:ln>
            <a:noFill/>
          </a:ln>
          <a:effectLst>
            <a:outerShdw blurRad="63500" sx="102000" sy="102000" algn="ctr" rotWithShape="0">
              <a:prstClr val="black">
                <a:alpha val="20000"/>
              </a:prstClr>
            </a:outerShdw>
          </a:effectLst>
        </c:spPr>
      </c:pivotFmt>
      <c:pivotFmt>
        <c:idx val="31"/>
        <c:spPr>
          <a:solidFill>
            <a:schemeClr val="accent2"/>
          </a:solidFill>
          <a:ln>
            <a:noFill/>
          </a:ln>
          <a:effectLst>
            <a:outerShdw blurRad="63500" sx="102000" sy="102000" algn="ctr" rotWithShape="0">
              <a:prstClr val="black">
                <a:alpha val="20000"/>
              </a:prstClr>
            </a:outerShdw>
          </a:effectLst>
        </c:spPr>
      </c:pivotFmt>
      <c:pivotFmt>
        <c:idx val="32"/>
        <c:spPr>
          <a:solidFill>
            <a:schemeClr val="accent3"/>
          </a:solidFill>
          <a:ln>
            <a:noFill/>
          </a:ln>
          <a:effectLst>
            <a:outerShdw blurRad="63500" sx="102000" sy="102000" algn="ctr" rotWithShape="0">
              <a:prstClr val="black">
                <a:alpha val="20000"/>
              </a:prstClr>
            </a:outerShdw>
          </a:effectLst>
        </c:spPr>
      </c:pivotFmt>
      <c:pivotFmt>
        <c:idx val="33"/>
        <c:spPr>
          <a:solidFill>
            <a:schemeClr val="accent4"/>
          </a:solidFill>
          <a:ln>
            <a:noFill/>
          </a:ln>
          <a:effectLst>
            <a:outerShdw blurRad="63500" sx="102000" sy="102000" algn="ctr" rotWithShape="0">
              <a:prstClr val="black">
                <a:alpha val="20000"/>
              </a:prstClr>
            </a:outerShdw>
          </a:effectLst>
        </c:spPr>
      </c:pivotFmt>
      <c:pivotFmt>
        <c:idx val="34"/>
        <c:spPr>
          <a:solidFill>
            <a:schemeClr val="accent5"/>
          </a:solidFill>
          <a:ln>
            <a:noFill/>
          </a:ln>
          <a:effectLst>
            <a:outerShdw blurRad="63500" sx="102000" sy="102000" algn="ctr" rotWithShape="0">
              <a:prstClr val="black">
                <a:alpha val="20000"/>
              </a:prstClr>
            </a:outerShdw>
          </a:effectLst>
        </c:spPr>
      </c:pivotFmt>
      <c:pivotFmt>
        <c:idx val="35"/>
        <c:spPr>
          <a:ln w="15875" cmpd="tri">
            <a:solidFill>
              <a:schemeClr val="tx1"/>
            </a:solidFill>
          </a:ln>
          <a:effectLst>
            <a:outerShdw blurRad="50800" dist="63500" dir="2700000" algn="tl" rotWithShape="0">
              <a:prstClr val="black">
                <a:alpha val="40000"/>
              </a:prstClr>
            </a:outerShdw>
          </a:effectLst>
        </c:spPr>
        <c:marker>
          <c:symbol val="none"/>
        </c:marker>
        <c:dLbl>
          <c:idx val="0"/>
          <c:spPr>
            <a:solidFill>
              <a:sysClr val="window" lastClr="FFFFFF"/>
            </a:solidFill>
          </c:spPr>
          <c:txPr>
            <a:bodyPr rot="0" spcFirstLastPara="1" vertOverflow="ellipsis" vert="horz" wrap="square" lIns="38100" tIns="19050" rIns="38100" bIns="19050" anchor="ctr" anchorCtr="1">
              <a:spAutoFit/>
            </a:bodyPr>
            <a:lstStyle/>
            <a:p>
              <a:pPr>
                <a:defRPr sz="1400" b="1" i="0" u="none" strike="noStrike" kern="1200" spc="0" baseline="0">
                  <a:solidFill>
                    <a:schemeClr val="tx1"/>
                  </a:solidFill>
                  <a:latin typeface="+mn-lt"/>
                  <a:ea typeface="+mn-ea"/>
                  <a:cs typeface="+mn-cs"/>
                </a:defRPr>
              </a:pPr>
              <a:endParaRPr lang="en-US"/>
            </a:p>
          </c:txPr>
          <c:showLegendKey val="0"/>
          <c:showVal val="0"/>
          <c:showCatName val="0"/>
          <c:showSerName val="0"/>
          <c:showPercent val="1"/>
          <c:showBubbleSize val="0"/>
          <c:separator>
</c:separator>
          <c:extLst>
            <c:ext xmlns:c15="http://schemas.microsoft.com/office/drawing/2012/chart" uri="{CE6537A1-D6FC-4f65-9D91-7224C49458BB}"/>
          </c:extLst>
        </c:dLbl>
      </c:pivotFmt>
      <c:pivotFmt>
        <c:idx val="36"/>
        <c:spPr>
          <a:solidFill>
            <a:srgbClr val="99BD66"/>
          </a:solidFill>
          <a:ln w="15875" cmpd="tri">
            <a:solidFill>
              <a:schemeClr val="tx1"/>
            </a:solidFill>
          </a:ln>
          <a:effectLst>
            <a:outerShdw blurRad="50800" dist="63500" dir="2700000" algn="tl" rotWithShape="0">
              <a:prstClr val="black">
                <a:alpha val="40000"/>
              </a:prstClr>
            </a:outerShdw>
          </a:effectLst>
        </c:spPr>
        <c:dLbl>
          <c:idx val="0"/>
          <c:spPr>
            <a:solidFill>
              <a:sysClr val="window" lastClr="FFFFFF"/>
            </a:solidFill>
            <a:ln>
              <a:noFill/>
            </a:ln>
            <a:effectLst/>
          </c:spPr>
          <c:txPr>
            <a:bodyPr rot="0" spcFirstLastPara="1" vertOverflow="ellipsis" vert="horz" wrap="square" lIns="38100" tIns="19050" rIns="38100" bIns="19050" anchor="ctr" anchorCtr="1">
              <a:spAutoFit/>
            </a:bodyPr>
            <a:lstStyle/>
            <a:p>
              <a:pPr>
                <a:defRPr sz="14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separator>
</c:separator>
          <c:extLst>
            <c:ext xmlns:c15="http://schemas.microsoft.com/office/drawing/2012/chart" uri="{CE6537A1-D6FC-4f65-9D91-7224C49458BB}"/>
          </c:extLst>
        </c:dLbl>
      </c:pivotFmt>
      <c:pivotFmt>
        <c:idx val="37"/>
        <c:spPr>
          <a:solidFill>
            <a:srgbClr val="C1FFC1"/>
          </a:solidFill>
          <a:ln w="15875" cmpd="tri">
            <a:solidFill>
              <a:schemeClr val="tx1"/>
            </a:solidFill>
          </a:ln>
          <a:effectLst>
            <a:outerShdw blurRad="50800" dist="63500" dir="2700000" algn="tl" rotWithShape="0">
              <a:prstClr val="black">
                <a:alpha val="40000"/>
              </a:prstClr>
            </a:outerShdw>
          </a:effectLst>
        </c:spPr>
        <c:dLbl>
          <c:idx val="0"/>
          <c:spPr>
            <a:solidFill>
              <a:sysClr val="window" lastClr="FFFFFF"/>
            </a:solidFill>
            <a:ln>
              <a:noFill/>
            </a:ln>
            <a:effectLst/>
          </c:spPr>
          <c:txPr>
            <a:bodyPr rot="0" spcFirstLastPara="1" vertOverflow="ellipsis" vert="horz" wrap="square" lIns="38100" tIns="19050" rIns="38100" bIns="19050" anchor="ctr" anchorCtr="1">
              <a:spAutoFit/>
            </a:bodyPr>
            <a:lstStyle/>
            <a:p>
              <a:pPr>
                <a:defRPr sz="14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separator>
</c:separator>
          <c:extLst>
            <c:ext xmlns:c15="http://schemas.microsoft.com/office/drawing/2012/chart" uri="{CE6537A1-D6FC-4f65-9D91-7224C49458BB}"/>
          </c:extLst>
        </c:dLbl>
      </c:pivotFmt>
      <c:pivotFmt>
        <c:idx val="38"/>
        <c:spPr>
          <a:solidFill>
            <a:srgbClr val="FFFF66"/>
          </a:solidFill>
          <a:ln w="15875" cmpd="tri">
            <a:solidFill>
              <a:schemeClr val="tx1"/>
            </a:solidFill>
          </a:ln>
          <a:effectLst>
            <a:outerShdw blurRad="50800" dist="63500" dir="2700000" algn="tl" rotWithShape="0">
              <a:prstClr val="black">
                <a:alpha val="40000"/>
              </a:prstClr>
            </a:outerShdw>
          </a:effectLst>
        </c:spPr>
        <c:dLbl>
          <c:idx val="0"/>
          <c:layout>
            <c:manualLayout>
              <c:x val="0.18919784582610177"/>
              <c:y val="-1.60805251456245E-2"/>
            </c:manualLayout>
          </c:layout>
          <c:spPr>
            <a:solidFill>
              <a:sysClr val="window" lastClr="FFFFFF"/>
            </a:solidFill>
            <a:ln>
              <a:noFill/>
            </a:ln>
            <a:effectLst/>
          </c:spPr>
          <c:txPr>
            <a:bodyPr rot="0" spcFirstLastPara="1" vertOverflow="ellipsis" vert="horz" wrap="square" lIns="38100" tIns="19050" rIns="38100" bIns="19050" anchor="ctr" anchorCtr="1">
              <a:spAutoFit/>
            </a:bodyPr>
            <a:lstStyle/>
            <a:p>
              <a:pPr>
                <a:defRPr sz="1400" b="1" i="0" u="none" strike="noStrike" kern="1200" spc="0" baseline="0">
                  <a:solidFill>
                    <a:schemeClr val="tx1"/>
                  </a:solidFill>
                  <a:latin typeface="+mn-lt"/>
                  <a:ea typeface="+mn-ea"/>
                  <a:cs typeface="+mn-cs"/>
                </a:defRPr>
              </a:pPr>
              <a:endParaRPr lang="en-US"/>
            </a:p>
          </c:txPr>
          <c:dLblPos val="bestFit"/>
          <c:showLegendKey val="0"/>
          <c:showVal val="0"/>
          <c:showCatName val="1"/>
          <c:showSerName val="0"/>
          <c:showPercent val="1"/>
          <c:showBubbleSize val="0"/>
          <c:separator>
</c:separator>
          <c:extLst>
            <c:ext xmlns:c15="http://schemas.microsoft.com/office/drawing/2012/chart" uri="{CE6537A1-D6FC-4f65-9D91-7224C49458BB}"/>
          </c:extLst>
        </c:dLbl>
      </c:pivotFmt>
      <c:pivotFmt>
        <c:idx val="39"/>
        <c:spPr>
          <a:solidFill>
            <a:srgbClr val="FFC267"/>
          </a:solidFill>
          <a:ln w="15875" cmpd="tri">
            <a:solidFill>
              <a:schemeClr val="tx1"/>
            </a:solidFill>
          </a:ln>
          <a:effectLst>
            <a:outerShdw blurRad="50800" dist="63500" dir="2700000" algn="tl" rotWithShape="0">
              <a:prstClr val="black">
                <a:alpha val="40000"/>
              </a:prstClr>
            </a:outerShdw>
          </a:effectLst>
        </c:spPr>
        <c:dLbl>
          <c:idx val="0"/>
          <c:spPr>
            <a:solidFill>
              <a:sysClr val="window" lastClr="FFFFFF"/>
            </a:solidFill>
            <a:ln>
              <a:noFill/>
            </a:ln>
            <a:effectLst/>
          </c:spPr>
          <c:txPr>
            <a:bodyPr rot="0" spcFirstLastPara="1" vertOverflow="ellipsis" vert="horz" wrap="square" lIns="38100" tIns="19050" rIns="38100" bIns="19050" anchor="ctr" anchorCtr="1">
              <a:spAutoFit/>
            </a:bodyPr>
            <a:lstStyle/>
            <a:p>
              <a:pPr>
                <a:defRPr sz="14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separator>
</c:separator>
          <c:extLst>
            <c:ext xmlns:c15="http://schemas.microsoft.com/office/drawing/2012/chart" uri="{CE6537A1-D6FC-4f65-9D91-7224C49458BB}"/>
          </c:extLst>
        </c:dLbl>
      </c:pivotFmt>
      <c:pivotFmt>
        <c:idx val="40"/>
        <c:spPr>
          <a:solidFill>
            <a:srgbClr val="FF7D67"/>
          </a:solidFill>
          <a:ln w="15875" cmpd="tri">
            <a:solidFill>
              <a:schemeClr val="tx1"/>
            </a:solidFill>
          </a:ln>
          <a:effectLst>
            <a:outerShdw blurRad="50800" dist="63500" dir="2700000" algn="tl" rotWithShape="0">
              <a:prstClr val="black">
                <a:alpha val="40000"/>
              </a:prstClr>
            </a:outerShdw>
          </a:effectLst>
        </c:spPr>
        <c:dLbl>
          <c:idx val="0"/>
          <c:spPr>
            <a:solidFill>
              <a:sysClr val="window" lastClr="FFFFFF"/>
            </a:solidFill>
            <a:ln>
              <a:noFill/>
            </a:ln>
            <a:effectLst/>
          </c:spPr>
          <c:txPr>
            <a:bodyPr rot="0" spcFirstLastPara="1" vertOverflow="ellipsis" vert="horz" wrap="square" lIns="38100" tIns="19050" rIns="38100" bIns="19050" anchor="ctr" anchorCtr="1">
              <a:spAutoFit/>
            </a:bodyPr>
            <a:lstStyle/>
            <a:p>
              <a:pPr>
                <a:defRPr sz="14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separator>
</c:separator>
          <c:extLst>
            <c:ext xmlns:c15="http://schemas.microsoft.com/office/drawing/2012/chart" uri="{CE6537A1-D6FC-4f65-9D91-7224C49458BB}"/>
          </c:extLst>
        </c:dLbl>
      </c:pivotFmt>
      <c:pivotFmt>
        <c:idx val="41"/>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0"/>
          <c:showCatName val="0"/>
          <c:showSerName val="0"/>
          <c:showPercent val="1"/>
          <c:showBubbleSize val="0"/>
          <c:extLst>
            <c:ext xmlns:c15="http://schemas.microsoft.com/office/drawing/2012/chart" uri="{CE6537A1-D6FC-4f65-9D91-7224C49458BB}"/>
          </c:extLst>
        </c:dLbl>
      </c:pivotFmt>
      <c:pivotFmt>
        <c:idx val="42"/>
        <c:spPr>
          <a:solidFill>
            <a:schemeClr val="accent1"/>
          </a:solidFill>
          <a:ln>
            <a:noFill/>
          </a:ln>
          <a:effectLst>
            <a:outerShdw blurRad="63500" sx="102000" sy="102000" algn="ctr" rotWithShape="0">
              <a:prstClr val="black">
                <a:alpha val="20000"/>
              </a:prstClr>
            </a:outerShdw>
          </a:effectLst>
        </c:spPr>
      </c:pivotFmt>
      <c:pivotFmt>
        <c:idx val="43"/>
        <c:spPr>
          <a:solidFill>
            <a:schemeClr val="accent2"/>
          </a:solidFill>
          <a:ln>
            <a:noFill/>
          </a:ln>
          <a:effectLst>
            <a:outerShdw blurRad="63500" sx="102000" sy="102000" algn="ctr" rotWithShape="0">
              <a:prstClr val="black">
                <a:alpha val="20000"/>
              </a:prstClr>
            </a:outerShdw>
          </a:effectLst>
        </c:spPr>
      </c:pivotFmt>
      <c:pivotFmt>
        <c:idx val="44"/>
        <c:spPr>
          <a:solidFill>
            <a:schemeClr val="accent3"/>
          </a:solidFill>
          <a:ln>
            <a:noFill/>
          </a:ln>
          <a:effectLst>
            <a:outerShdw blurRad="63500" sx="102000" sy="102000" algn="ctr" rotWithShape="0">
              <a:prstClr val="black">
                <a:alpha val="20000"/>
              </a:prstClr>
            </a:outerShdw>
          </a:effectLst>
        </c:spPr>
      </c:pivotFmt>
      <c:pivotFmt>
        <c:idx val="45"/>
        <c:spPr>
          <a:solidFill>
            <a:schemeClr val="accent4"/>
          </a:solidFill>
          <a:ln>
            <a:noFill/>
          </a:ln>
          <a:effectLst>
            <a:outerShdw blurRad="63500" sx="102000" sy="102000" algn="ctr" rotWithShape="0">
              <a:prstClr val="black">
                <a:alpha val="20000"/>
              </a:prstClr>
            </a:outerShdw>
          </a:effectLst>
        </c:spPr>
      </c:pivotFmt>
      <c:pivotFmt>
        <c:idx val="46"/>
        <c:spPr>
          <a:solidFill>
            <a:schemeClr val="accent5"/>
          </a:solidFill>
          <a:ln>
            <a:noFill/>
          </a:ln>
          <a:effectLst>
            <a:outerShdw blurRad="63500" sx="102000" sy="102000" algn="ctr" rotWithShape="0">
              <a:prstClr val="black">
                <a:alpha val="20000"/>
              </a:prstClr>
            </a:outerShdw>
          </a:effectLst>
        </c:spPr>
      </c:pivotFmt>
      <c:pivotFmt>
        <c:idx val="47"/>
        <c:spPr>
          <a:ln w="15875" cmpd="tri">
            <a:solidFill>
              <a:schemeClr val="tx1"/>
            </a:solidFill>
          </a:ln>
          <a:effectLst>
            <a:outerShdw blurRad="50800" dist="63500" dir="2700000" algn="tl" rotWithShape="0">
              <a:prstClr val="black">
                <a:alpha val="40000"/>
              </a:prstClr>
            </a:outerShdw>
          </a:effectLst>
        </c:spPr>
        <c:marker>
          <c:symbol val="none"/>
        </c:marker>
        <c:dLbl>
          <c:idx val="0"/>
          <c:spPr>
            <a:solidFill>
              <a:sysClr val="window" lastClr="FFFFFF"/>
            </a:solidFill>
          </c:spPr>
          <c:txPr>
            <a:bodyPr rot="0" spcFirstLastPara="1" vertOverflow="ellipsis" vert="horz" wrap="square" lIns="38100" tIns="19050" rIns="38100" bIns="19050" anchor="ctr" anchorCtr="1">
              <a:spAutoFit/>
            </a:bodyPr>
            <a:lstStyle/>
            <a:p>
              <a:pPr>
                <a:defRPr sz="1400" b="1" i="0" u="none" strike="noStrike" kern="1200" spc="0" baseline="0">
                  <a:solidFill>
                    <a:schemeClr val="tx1"/>
                  </a:solidFill>
                  <a:latin typeface="+mn-lt"/>
                  <a:ea typeface="+mn-ea"/>
                  <a:cs typeface="+mn-cs"/>
                </a:defRPr>
              </a:pPr>
              <a:endParaRPr lang="en-US"/>
            </a:p>
          </c:txPr>
          <c:showLegendKey val="0"/>
          <c:showVal val="0"/>
          <c:showCatName val="0"/>
          <c:showSerName val="0"/>
          <c:showPercent val="1"/>
          <c:showBubbleSize val="0"/>
          <c:separator>
</c:separator>
          <c:extLst>
            <c:ext xmlns:c15="http://schemas.microsoft.com/office/drawing/2012/chart" uri="{CE6537A1-D6FC-4f65-9D91-7224C49458BB}"/>
          </c:extLst>
        </c:dLbl>
      </c:pivotFmt>
      <c:pivotFmt>
        <c:idx val="48"/>
        <c:spPr>
          <a:solidFill>
            <a:srgbClr val="99BD66"/>
          </a:solidFill>
          <a:ln w="15875" cmpd="tri">
            <a:solidFill>
              <a:schemeClr val="tx1"/>
            </a:solidFill>
          </a:ln>
          <a:effectLst>
            <a:outerShdw blurRad="50800" dist="63500" dir="2700000" algn="tl" rotWithShape="0">
              <a:prstClr val="black">
                <a:alpha val="40000"/>
              </a:prstClr>
            </a:outerShdw>
          </a:effectLst>
        </c:spPr>
        <c:dLbl>
          <c:idx val="0"/>
          <c:spPr>
            <a:solidFill>
              <a:sysClr val="window" lastClr="FFFFFF"/>
            </a:solidFill>
            <a:ln>
              <a:noFill/>
            </a:ln>
            <a:effectLst/>
          </c:spPr>
          <c:txPr>
            <a:bodyPr rot="0" spcFirstLastPara="1" vertOverflow="ellipsis" vert="horz" wrap="square" lIns="38100" tIns="19050" rIns="38100" bIns="19050" anchor="ctr" anchorCtr="1">
              <a:spAutoFit/>
            </a:bodyPr>
            <a:lstStyle/>
            <a:p>
              <a:pPr>
                <a:defRPr sz="14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separator>
</c:separator>
          <c:extLst>
            <c:ext xmlns:c15="http://schemas.microsoft.com/office/drawing/2012/chart" uri="{CE6537A1-D6FC-4f65-9D91-7224C49458BB}"/>
          </c:extLst>
        </c:dLbl>
      </c:pivotFmt>
      <c:pivotFmt>
        <c:idx val="49"/>
        <c:spPr>
          <a:solidFill>
            <a:srgbClr val="C1FFC1"/>
          </a:solidFill>
          <a:ln w="15875" cmpd="tri">
            <a:solidFill>
              <a:schemeClr val="tx1"/>
            </a:solidFill>
          </a:ln>
          <a:effectLst>
            <a:outerShdw blurRad="50800" dist="63500" dir="2700000" algn="tl" rotWithShape="0">
              <a:prstClr val="black">
                <a:alpha val="40000"/>
              </a:prstClr>
            </a:outerShdw>
          </a:effectLst>
        </c:spPr>
        <c:dLbl>
          <c:idx val="0"/>
          <c:spPr>
            <a:solidFill>
              <a:sysClr val="window" lastClr="FFFFFF"/>
            </a:solidFill>
            <a:ln>
              <a:noFill/>
            </a:ln>
            <a:effectLst/>
          </c:spPr>
          <c:txPr>
            <a:bodyPr rot="0" spcFirstLastPara="1" vertOverflow="ellipsis" vert="horz" wrap="square" lIns="38100" tIns="19050" rIns="38100" bIns="19050" anchor="ctr" anchorCtr="1">
              <a:spAutoFit/>
            </a:bodyPr>
            <a:lstStyle/>
            <a:p>
              <a:pPr>
                <a:defRPr sz="14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separator>
</c:separator>
          <c:extLst>
            <c:ext xmlns:c15="http://schemas.microsoft.com/office/drawing/2012/chart" uri="{CE6537A1-D6FC-4f65-9D91-7224C49458BB}"/>
          </c:extLst>
        </c:dLbl>
      </c:pivotFmt>
      <c:pivotFmt>
        <c:idx val="50"/>
        <c:spPr>
          <a:solidFill>
            <a:srgbClr val="FFFF66"/>
          </a:solidFill>
          <a:ln w="15875" cmpd="tri">
            <a:solidFill>
              <a:schemeClr val="tx1"/>
            </a:solidFill>
          </a:ln>
          <a:effectLst>
            <a:outerShdw blurRad="50800" dist="63500" dir="2700000" algn="tl" rotWithShape="0">
              <a:prstClr val="black">
                <a:alpha val="40000"/>
              </a:prstClr>
            </a:outerShdw>
          </a:effectLst>
        </c:spPr>
        <c:dLbl>
          <c:idx val="0"/>
          <c:layout>
            <c:manualLayout>
              <c:x val="0.18919784582610177"/>
              <c:y val="-1.60805251456245E-2"/>
            </c:manualLayout>
          </c:layout>
          <c:spPr>
            <a:solidFill>
              <a:sysClr val="window" lastClr="FFFFFF"/>
            </a:solidFill>
            <a:ln>
              <a:noFill/>
            </a:ln>
            <a:effectLst/>
          </c:spPr>
          <c:txPr>
            <a:bodyPr rot="0" spcFirstLastPara="1" vertOverflow="ellipsis" vert="horz" wrap="square" lIns="38100" tIns="19050" rIns="38100" bIns="19050" anchor="ctr" anchorCtr="1">
              <a:spAutoFit/>
            </a:bodyPr>
            <a:lstStyle/>
            <a:p>
              <a:pPr>
                <a:defRPr sz="1400" b="1" i="0" u="none" strike="noStrike" kern="1200" spc="0" baseline="0">
                  <a:solidFill>
                    <a:schemeClr val="tx1"/>
                  </a:solidFill>
                  <a:latin typeface="+mn-lt"/>
                  <a:ea typeface="+mn-ea"/>
                  <a:cs typeface="+mn-cs"/>
                </a:defRPr>
              </a:pPr>
              <a:endParaRPr lang="en-US"/>
            </a:p>
          </c:txPr>
          <c:dLblPos val="bestFit"/>
          <c:showLegendKey val="0"/>
          <c:showVal val="0"/>
          <c:showCatName val="1"/>
          <c:showSerName val="0"/>
          <c:showPercent val="1"/>
          <c:showBubbleSize val="0"/>
          <c:separator>
</c:separator>
          <c:extLst>
            <c:ext xmlns:c15="http://schemas.microsoft.com/office/drawing/2012/chart" uri="{CE6537A1-D6FC-4f65-9D91-7224C49458BB}"/>
          </c:extLst>
        </c:dLbl>
      </c:pivotFmt>
      <c:pivotFmt>
        <c:idx val="51"/>
        <c:spPr>
          <a:solidFill>
            <a:srgbClr val="FFC267"/>
          </a:solidFill>
          <a:ln w="15875" cmpd="tri">
            <a:solidFill>
              <a:schemeClr val="tx1"/>
            </a:solidFill>
          </a:ln>
          <a:effectLst>
            <a:outerShdw blurRad="50800" dist="63500" dir="2700000" algn="tl" rotWithShape="0">
              <a:prstClr val="black">
                <a:alpha val="40000"/>
              </a:prstClr>
            </a:outerShdw>
          </a:effectLst>
        </c:spPr>
        <c:dLbl>
          <c:idx val="0"/>
          <c:spPr>
            <a:solidFill>
              <a:sysClr val="window" lastClr="FFFFFF"/>
            </a:solidFill>
            <a:ln>
              <a:noFill/>
            </a:ln>
            <a:effectLst/>
          </c:spPr>
          <c:txPr>
            <a:bodyPr rot="0" spcFirstLastPara="1" vertOverflow="ellipsis" vert="horz" wrap="square" lIns="38100" tIns="19050" rIns="38100" bIns="19050" anchor="ctr" anchorCtr="1">
              <a:spAutoFit/>
            </a:bodyPr>
            <a:lstStyle/>
            <a:p>
              <a:pPr>
                <a:defRPr sz="14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separator>
</c:separator>
          <c:extLst>
            <c:ext xmlns:c15="http://schemas.microsoft.com/office/drawing/2012/chart" uri="{CE6537A1-D6FC-4f65-9D91-7224C49458BB}"/>
          </c:extLst>
        </c:dLbl>
      </c:pivotFmt>
      <c:pivotFmt>
        <c:idx val="52"/>
        <c:spPr>
          <a:solidFill>
            <a:srgbClr val="FF7D67"/>
          </a:solidFill>
          <a:ln w="15875" cmpd="tri">
            <a:solidFill>
              <a:schemeClr val="tx1"/>
            </a:solidFill>
          </a:ln>
          <a:effectLst>
            <a:outerShdw blurRad="50800" dist="63500" dir="2700000" algn="tl" rotWithShape="0">
              <a:prstClr val="black">
                <a:alpha val="40000"/>
              </a:prstClr>
            </a:outerShdw>
          </a:effectLst>
        </c:spPr>
        <c:dLbl>
          <c:idx val="0"/>
          <c:spPr>
            <a:solidFill>
              <a:sysClr val="window" lastClr="FFFFFF"/>
            </a:solidFill>
            <a:ln>
              <a:noFill/>
            </a:ln>
            <a:effectLst/>
          </c:spPr>
          <c:txPr>
            <a:bodyPr rot="0" spcFirstLastPara="1" vertOverflow="ellipsis" vert="horz" wrap="square" lIns="38100" tIns="19050" rIns="38100" bIns="19050" anchor="ctr" anchorCtr="1">
              <a:spAutoFit/>
            </a:bodyPr>
            <a:lstStyle/>
            <a:p>
              <a:pPr>
                <a:defRPr sz="14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separator>
</c:separator>
          <c:extLst>
            <c:ext xmlns:c15="http://schemas.microsoft.com/office/drawing/2012/chart" uri="{CE6537A1-D6FC-4f65-9D91-7224C49458BB}"/>
          </c:extLst>
        </c:dLbl>
      </c:pivotFmt>
      <c:pivotFmt>
        <c:idx val="53"/>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0"/>
          <c:showCatName val="0"/>
          <c:showSerName val="0"/>
          <c:showPercent val="1"/>
          <c:showBubbleSize val="0"/>
          <c:extLst>
            <c:ext xmlns:c15="http://schemas.microsoft.com/office/drawing/2012/chart" uri="{CE6537A1-D6FC-4f65-9D91-7224C49458BB}"/>
          </c:extLst>
        </c:dLbl>
      </c:pivotFmt>
      <c:pivotFmt>
        <c:idx val="54"/>
        <c:spPr>
          <a:solidFill>
            <a:schemeClr val="accent1"/>
          </a:solidFill>
          <a:ln>
            <a:noFill/>
          </a:ln>
          <a:effectLst>
            <a:outerShdw blurRad="63500" sx="102000" sy="102000" algn="ctr" rotWithShape="0">
              <a:prstClr val="black">
                <a:alpha val="20000"/>
              </a:prstClr>
            </a:outerShdw>
          </a:effectLst>
        </c:spPr>
      </c:pivotFmt>
      <c:pivotFmt>
        <c:idx val="55"/>
        <c:spPr>
          <a:solidFill>
            <a:schemeClr val="accent2"/>
          </a:solidFill>
          <a:ln>
            <a:noFill/>
          </a:ln>
          <a:effectLst>
            <a:outerShdw blurRad="63500" sx="102000" sy="102000" algn="ctr" rotWithShape="0">
              <a:prstClr val="black">
                <a:alpha val="20000"/>
              </a:prstClr>
            </a:outerShdw>
          </a:effectLst>
        </c:spPr>
      </c:pivotFmt>
      <c:pivotFmt>
        <c:idx val="56"/>
        <c:spPr>
          <a:solidFill>
            <a:schemeClr val="accent3"/>
          </a:solidFill>
          <a:ln>
            <a:noFill/>
          </a:ln>
          <a:effectLst>
            <a:outerShdw blurRad="63500" sx="102000" sy="102000" algn="ctr" rotWithShape="0">
              <a:prstClr val="black">
                <a:alpha val="20000"/>
              </a:prstClr>
            </a:outerShdw>
          </a:effectLst>
        </c:spPr>
      </c:pivotFmt>
      <c:pivotFmt>
        <c:idx val="57"/>
        <c:spPr>
          <a:solidFill>
            <a:schemeClr val="accent4"/>
          </a:solidFill>
          <a:ln>
            <a:noFill/>
          </a:ln>
          <a:effectLst>
            <a:outerShdw blurRad="63500" sx="102000" sy="102000" algn="ctr" rotWithShape="0">
              <a:prstClr val="black">
                <a:alpha val="20000"/>
              </a:prstClr>
            </a:outerShdw>
          </a:effectLst>
        </c:spPr>
      </c:pivotFmt>
      <c:pivotFmt>
        <c:idx val="58"/>
        <c:spPr>
          <a:solidFill>
            <a:schemeClr val="accent5"/>
          </a:solidFill>
          <a:ln>
            <a:noFill/>
          </a:ln>
          <a:effectLst>
            <a:outerShdw blurRad="63500" sx="102000" sy="102000" algn="ctr" rotWithShape="0">
              <a:prstClr val="black">
                <a:alpha val="20000"/>
              </a:prstClr>
            </a:outerShdw>
          </a:effectLst>
        </c:spPr>
      </c:pivotFmt>
      <c:pivotFmt>
        <c:idx val="59"/>
        <c:spPr>
          <a:ln w="15875" cmpd="tri">
            <a:solidFill>
              <a:schemeClr val="tx1"/>
            </a:solidFill>
          </a:ln>
          <a:effectLst>
            <a:outerShdw blurRad="50800" dist="63500" dir="2700000" algn="tl" rotWithShape="0">
              <a:prstClr val="black">
                <a:alpha val="40000"/>
              </a:prstClr>
            </a:outerShdw>
          </a:effectLst>
        </c:spPr>
        <c:marker>
          <c:symbol val="none"/>
        </c:marker>
        <c:dLbl>
          <c:idx val="0"/>
          <c:spPr>
            <a:solidFill>
              <a:sysClr val="window" lastClr="FFFFFF"/>
            </a:solidFill>
          </c:spPr>
          <c:txPr>
            <a:bodyPr rot="0" spcFirstLastPara="1" vertOverflow="ellipsis" vert="horz" wrap="square" lIns="38100" tIns="19050" rIns="38100" bIns="19050" anchor="ctr" anchorCtr="1">
              <a:spAutoFit/>
            </a:bodyPr>
            <a:lstStyle/>
            <a:p>
              <a:pPr>
                <a:defRPr sz="1400" b="1" i="0" u="none" strike="noStrike" kern="1200" spc="0" baseline="0">
                  <a:solidFill>
                    <a:schemeClr val="tx1"/>
                  </a:solidFill>
                  <a:latin typeface="+mn-lt"/>
                  <a:ea typeface="+mn-ea"/>
                  <a:cs typeface="+mn-cs"/>
                </a:defRPr>
              </a:pPr>
              <a:endParaRPr lang="en-US"/>
            </a:p>
          </c:txPr>
          <c:showLegendKey val="0"/>
          <c:showVal val="0"/>
          <c:showCatName val="0"/>
          <c:showSerName val="0"/>
          <c:showPercent val="1"/>
          <c:showBubbleSize val="0"/>
          <c:separator>
</c:separator>
          <c:extLst>
            <c:ext xmlns:c15="http://schemas.microsoft.com/office/drawing/2012/chart" uri="{CE6537A1-D6FC-4f65-9D91-7224C49458BB}"/>
          </c:extLst>
        </c:dLbl>
      </c:pivotFmt>
      <c:pivotFmt>
        <c:idx val="60"/>
        <c:spPr>
          <a:solidFill>
            <a:srgbClr val="99BD66"/>
          </a:solidFill>
          <a:ln w="15875" cmpd="tri">
            <a:solidFill>
              <a:schemeClr val="tx1"/>
            </a:solidFill>
          </a:ln>
          <a:effectLst>
            <a:outerShdw blurRad="50800" dist="63500" dir="2700000" algn="tl" rotWithShape="0">
              <a:prstClr val="black">
                <a:alpha val="40000"/>
              </a:prstClr>
            </a:outerShdw>
          </a:effectLst>
        </c:spPr>
        <c:dLbl>
          <c:idx val="0"/>
          <c:spPr>
            <a:solidFill>
              <a:sysClr val="window" lastClr="FFFFFF"/>
            </a:solidFill>
            <a:ln>
              <a:noFill/>
            </a:ln>
            <a:effectLst/>
          </c:spPr>
          <c:txPr>
            <a:bodyPr rot="0" spcFirstLastPara="1" vertOverflow="ellipsis" vert="horz" wrap="square" lIns="38100" tIns="19050" rIns="38100" bIns="19050" anchor="ctr" anchorCtr="1">
              <a:spAutoFit/>
            </a:bodyPr>
            <a:lstStyle/>
            <a:p>
              <a:pPr>
                <a:defRPr sz="14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separator>
</c:separator>
          <c:extLst>
            <c:ext xmlns:c15="http://schemas.microsoft.com/office/drawing/2012/chart" uri="{CE6537A1-D6FC-4f65-9D91-7224C49458BB}"/>
          </c:extLst>
        </c:dLbl>
      </c:pivotFmt>
      <c:pivotFmt>
        <c:idx val="61"/>
        <c:spPr>
          <a:solidFill>
            <a:srgbClr val="C1FFC1"/>
          </a:solidFill>
          <a:ln w="15875" cmpd="tri">
            <a:solidFill>
              <a:schemeClr val="tx1"/>
            </a:solidFill>
          </a:ln>
          <a:effectLst>
            <a:outerShdw blurRad="50800" dist="63500" dir="2700000" algn="tl" rotWithShape="0">
              <a:prstClr val="black">
                <a:alpha val="40000"/>
              </a:prstClr>
            </a:outerShdw>
          </a:effectLst>
        </c:spPr>
        <c:dLbl>
          <c:idx val="0"/>
          <c:spPr>
            <a:solidFill>
              <a:sysClr val="window" lastClr="FFFFFF"/>
            </a:solidFill>
            <a:ln>
              <a:noFill/>
            </a:ln>
            <a:effectLst/>
          </c:spPr>
          <c:txPr>
            <a:bodyPr rot="0" spcFirstLastPara="1" vertOverflow="ellipsis" vert="horz" wrap="square" lIns="38100" tIns="19050" rIns="38100" bIns="19050" anchor="ctr" anchorCtr="1">
              <a:spAutoFit/>
            </a:bodyPr>
            <a:lstStyle/>
            <a:p>
              <a:pPr>
                <a:defRPr sz="14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separator>
</c:separator>
          <c:extLst>
            <c:ext xmlns:c15="http://schemas.microsoft.com/office/drawing/2012/chart" uri="{CE6537A1-D6FC-4f65-9D91-7224C49458BB}"/>
          </c:extLst>
        </c:dLbl>
      </c:pivotFmt>
      <c:pivotFmt>
        <c:idx val="62"/>
        <c:spPr>
          <a:solidFill>
            <a:srgbClr val="FFFF66"/>
          </a:solidFill>
          <a:ln w="15875" cmpd="tri">
            <a:solidFill>
              <a:schemeClr val="tx1"/>
            </a:solidFill>
          </a:ln>
          <a:effectLst>
            <a:outerShdw blurRad="50800" dist="63500" dir="2700000" algn="tl" rotWithShape="0">
              <a:prstClr val="black">
                <a:alpha val="40000"/>
              </a:prstClr>
            </a:outerShdw>
          </a:effectLst>
        </c:spPr>
        <c:dLbl>
          <c:idx val="0"/>
          <c:layout>
            <c:manualLayout>
              <c:x val="0.18919784582610177"/>
              <c:y val="-1.60805251456245E-2"/>
            </c:manualLayout>
          </c:layout>
          <c:spPr>
            <a:solidFill>
              <a:sysClr val="window" lastClr="FFFFFF"/>
            </a:solidFill>
            <a:ln>
              <a:noFill/>
            </a:ln>
            <a:effectLst/>
          </c:spPr>
          <c:txPr>
            <a:bodyPr rot="0" spcFirstLastPara="1" vertOverflow="ellipsis" vert="horz" wrap="square" lIns="38100" tIns="19050" rIns="38100" bIns="19050" anchor="ctr" anchorCtr="1">
              <a:spAutoFit/>
            </a:bodyPr>
            <a:lstStyle/>
            <a:p>
              <a:pPr>
                <a:defRPr sz="1400" b="1" i="0" u="none" strike="noStrike" kern="1200" spc="0" baseline="0">
                  <a:solidFill>
                    <a:schemeClr val="tx1"/>
                  </a:solidFill>
                  <a:latin typeface="+mn-lt"/>
                  <a:ea typeface="+mn-ea"/>
                  <a:cs typeface="+mn-cs"/>
                </a:defRPr>
              </a:pPr>
              <a:endParaRPr lang="en-US"/>
            </a:p>
          </c:txPr>
          <c:dLblPos val="bestFit"/>
          <c:showLegendKey val="0"/>
          <c:showVal val="0"/>
          <c:showCatName val="1"/>
          <c:showSerName val="0"/>
          <c:showPercent val="1"/>
          <c:showBubbleSize val="0"/>
          <c:separator>
</c:separator>
          <c:extLst>
            <c:ext xmlns:c15="http://schemas.microsoft.com/office/drawing/2012/chart" uri="{CE6537A1-D6FC-4f65-9D91-7224C49458BB}"/>
          </c:extLst>
        </c:dLbl>
      </c:pivotFmt>
      <c:pivotFmt>
        <c:idx val="63"/>
        <c:spPr>
          <a:solidFill>
            <a:srgbClr val="FFC267"/>
          </a:solidFill>
          <a:ln w="15875" cmpd="tri">
            <a:solidFill>
              <a:schemeClr val="tx1"/>
            </a:solidFill>
          </a:ln>
          <a:effectLst>
            <a:outerShdw blurRad="50800" dist="63500" dir="2700000" algn="tl" rotWithShape="0">
              <a:prstClr val="black">
                <a:alpha val="40000"/>
              </a:prstClr>
            </a:outerShdw>
          </a:effectLst>
        </c:spPr>
        <c:dLbl>
          <c:idx val="0"/>
          <c:spPr>
            <a:solidFill>
              <a:sysClr val="window" lastClr="FFFFFF"/>
            </a:solidFill>
            <a:ln>
              <a:noFill/>
            </a:ln>
            <a:effectLst/>
          </c:spPr>
          <c:txPr>
            <a:bodyPr rot="0" spcFirstLastPara="1" vertOverflow="ellipsis" vert="horz" wrap="square" lIns="38100" tIns="19050" rIns="38100" bIns="19050" anchor="ctr" anchorCtr="1">
              <a:spAutoFit/>
            </a:bodyPr>
            <a:lstStyle/>
            <a:p>
              <a:pPr>
                <a:defRPr sz="14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separator>
</c:separator>
          <c:extLst>
            <c:ext xmlns:c15="http://schemas.microsoft.com/office/drawing/2012/chart" uri="{CE6537A1-D6FC-4f65-9D91-7224C49458BB}"/>
          </c:extLst>
        </c:dLbl>
      </c:pivotFmt>
      <c:pivotFmt>
        <c:idx val="64"/>
        <c:spPr>
          <a:solidFill>
            <a:srgbClr val="FF7D67"/>
          </a:solidFill>
          <a:ln w="15875" cmpd="tri">
            <a:solidFill>
              <a:schemeClr val="tx1"/>
            </a:solidFill>
          </a:ln>
          <a:effectLst>
            <a:outerShdw blurRad="50800" dist="63500" dir="2700000" algn="tl" rotWithShape="0">
              <a:prstClr val="black">
                <a:alpha val="40000"/>
              </a:prstClr>
            </a:outerShdw>
          </a:effectLst>
        </c:spPr>
        <c:dLbl>
          <c:idx val="0"/>
          <c:spPr>
            <a:solidFill>
              <a:sysClr val="window" lastClr="FFFFFF"/>
            </a:solidFill>
            <a:ln>
              <a:noFill/>
            </a:ln>
            <a:effectLst/>
          </c:spPr>
          <c:txPr>
            <a:bodyPr rot="0" spcFirstLastPara="1" vertOverflow="ellipsis" vert="horz" wrap="square" lIns="38100" tIns="19050" rIns="38100" bIns="19050" anchor="ctr" anchorCtr="1">
              <a:spAutoFit/>
            </a:bodyPr>
            <a:lstStyle/>
            <a:p>
              <a:pPr>
                <a:defRPr sz="14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separator>
</c:separator>
          <c:extLst>
            <c:ext xmlns:c15="http://schemas.microsoft.com/office/drawing/2012/chart" uri="{CE6537A1-D6FC-4f65-9D91-7224C49458BB}"/>
          </c:extLst>
        </c:dLbl>
      </c:pivotFmt>
      <c:pivotFmt>
        <c:idx val="65"/>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0"/>
          <c:showCatName val="0"/>
          <c:showSerName val="0"/>
          <c:showPercent val="1"/>
          <c:showBubbleSize val="0"/>
          <c:extLst>
            <c:ext xmlns:c15="http://schemas.microsoft.com/office/drawing/2012/chart" uri="{CE6537A1-D6FC-4f65-9D91-7224C49458BB}"/>
          </c:extLst>
        </c:dLbl>
      </c:pivotFmt>
      <c:pivotFmt>
        <c:idx val="66"/>
        <c:spPr>
          <a:solidFill>
            <a:schemeClr val="accent1"/>
          </a:solidFill>
          <a:ln>
            <a:noFill/>
          </a:ln>
          <a:effectLst>
            <a:outerShdw blurRad="63500" sx="102000" sy="102000" algn="ctr" rotWithShape="0">
              <a:prstClr val="black">
                <a:alpha val="20000"/>
              </a:prstClr>
            </a:outerShdw>
          </a:effectLst>
        </c:spPr>
      </c:pivotFmt>
      <c:pivotFmt>
        <c:idx val="67"/>
        <c:spPr>
          <a:solidFill>
            <a:schemeClr val="accent2"/>
          </a:solidFill>
          <a:ln>
            <a:noFill/>
          </a:ln>
          <a:effectLst>
            <a:outerShdw blurRad="63500" sx="102000" sy="102000" algn="ctr" rotWithShape="0">
              <a:prstClr val="black">
                <a:alpha val="20000"/>
              </a:prstClr>
            </a:outerShdw>
          </a:effectLst>
        </c:spPr>
      </c:pivotFmt>
      <c:pivotFmt>
        <c:idx val="68"/>
        <c:spPr>
          <a:solidFill>
            <a:schemeClr val="accent3"/>
          </a:solidFill>
          <a:ln>
            <a:noFill/>
          </a:ln>
          <a:effectLst>
            <a:outerShdw blurRad="63500" sx="102000" sy="102000" algn="ctr" rotWithShape="0">
              <a:prstClr val="black">
                <a:alpha val="20000"/>
              </a:prstClr>
            </a:outerShdw>
          </a:effectLst>
        </c:spPr>
      </c:pivotFmt>
      <c:pivotFmt>
        <c:idx val="69"/>
        <c:spPr>
          <a:solidFill>
            <a:schemeClr val="accent4"/>
          </a:solidFill>
          <a:ln>
            <a:noFill/>
          </a:ln>
          <a:effectLst>
            <a:outerShdw blurRad="63500" sx="102000" sy="102000" algn="ctr" rotWithShape="0">
              <a:prstClr val="black">
                <a:alpha val="20000"/>
              </a:prstClr>
            </a:outerShdw>
          </a:effectLst>
        </c:spPr>
      </c:pivotFmt>
      <c:pivotFmt>
        <c:idx val="70"/>
        <c:spPr>
          <a:solidFill>
            <a:schemeClr val="accent5"/>
          </a:solidFill>
          <a:ln>
            <a:noFill/>
          </a:ln>
          <a:effectLst>
            <a:outerShdw blurRad="63500" sx="102000" sy="102000" algn="ctr" rotWithShape="0">
              <a:prstClr val="black">
                <a:alpha val="20000"/>
              </a:prstClr>
            </a:outerShdw>
          </a:effectLst>
        </c:spPr>
      </c:pivotFmt>
      <c:pivotFmt>
        <c:idx val="71"/>
        <c:spPr>
          <a:ln w="15875" cmpd="tri">
            <a:solidFill>
              <a:schemeClr val="tx1"/>
            </a:solidFill>
          </a:ln>
          <a:effectLst>
            <a:outerShdw blurRad="50800" dist="63500" dir="2700000" algn="tl" rotWithShape="0">
              <a:prstClr val="black">
                <a:alpha val="40000"/>
              </a:prstClr>
            </a:outerShdw>
          </a:effectLst>
        </c:spPr>
        <c:marker>
          <c:symbol val="none"/>
        </c:marker>
        <c:dLbl>
          <c:idx val="0"/>
          <c:spPr>
            <a:solidFill>
              <a:sysClr val="window" lastClr="FFFFFF"/>
            </a:solidFill>
          </c:spPr>
          <c:txPr>
            <a:bodyPr rot="0" spcFirstLastPara="1" vertOverflow="ellipsis" vert="horz" wrap="square" lIns="38100" tIns="19050" rIns="38100" bIns="19050" anchor="ctr" anchorCtr="1">
              <a:spAutoFit/>
            </a:bodyPr>
            <a:lstStyle/>
            <a:p>
              <a:pPr>
                <a:defRPr sz="1400" b="1" i="0" u="none" strike="noStrike" kern="1200" spc="0" baseline="0">
                  <a:solidFill>
                    <a:schemeClr val="tx1"/>
                  </a:solidFill>
                  <a:latin typeface="+mn-lt"/>
                  <a:ea typeface="+mn-ea"/>
                  <a:cs typeface="+mn-cs"/>
                </a:defRPr>
              </a:pPr>
              <a:endParaRPr lang="en-US"/>
            </a:p>
          </c:txPr>
          <c:showLegendKey val="0"/>
          <c:showVal val="0"/>
          <c:showCatName val="0"/>
          <c:showSerName val="0"/>
          <c:showPercent val="1"/>
          <c:showBubbleSize val="0"/>
          <c:separator>
</c:separator>
          <c:extLst>
            <c:ext xmlns:c15="http://schemas.microsoft.com/office/drawing/2012/chart" uri="{CE6537A1-D6FC-4f65-9D91-7224C49458BB}"/>
          </c:extLst>
        </c:dLbl>
      </c:pivotFmt>
      <c:pivotFmt>
        <c:idx val="72"/>
        <c:spPr>
          <a:solidFill>
            <a:srgbClr val="99BD66"/>
          </a:solidFill>
          <a:ln w="15875" cmpd="tri">
            <a:solidFill>
              <a:schemeClr val="tx1"/>
            </a:solidFill>
          </a:ln>
          <a:effectLst>
            <a:outerShdw blurRad="50800" dist="63500" dir="2700000" algn="tl" rotWithShape="0">
              <a:prstClr val="black">
                <a:alpha val="40000"/>
              </a:prstClr>
            </a:outerShdw>
          </a:effectLst>
        </c:spPr>
        <c:dLbl>
          <c:idx val="0"/>
          <c:spPr>
            <a:solidFill>
              <a:sysClr val="window" lastClr="FFFFFF"/>
            </a:solidFill>
            <a:ln>
              <a:noFill/>
            </a:ln>
            <a:effectLst/>
          </c:spPr>
          <c:txPr>
            <a:bodyPr rot="0" spcFirstLastPara="1" vertOverflow="ellipsis" vert="horz" wrap="square" lIns="38100" tIns="19050" rIns="38100" bIns="19050" anchor="ctr" anchorCtr="1">
              <a:spAutoFit/>
            </a:bodyPr>
            <a:lstStyle/>
            <a:p>
              <a:pPr>
                <a:defRPr sz="14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separator>
</c:separator>
          <c:extLst>
            <c:ext xmlns:c15="http://schemas.microsoft.com/office/drawing/2012/chart" uri="{CE6537A1-D6FC-4f65-9D91-7224C49458BB}"/>
          </c:extLst>
        </c:dLbl>
      </c:pivotFmt>
      <c:pivotFmt>
        <c:idx val="73"/>
        <c:spPr>
          <a:solidFill>
            <a:srgbClr val="C1FFC1"/>
          </a:solidFill>
          <a:ln w="15875" cmpd="tri">
            <a:solidFill>
              <a:schemeClr val="tx1"/>
            </a:solidFill>
          </a:ln>
          <a:effectLst>
            <a:outerShdw blurRad="50800" dist="63500" dir="2700000" algn="tl" rotWithShape="0">
              <a:prstClr val="black">
                <a:alpha val="40000"/>
              </a:prstClr>
            </a:outerShdw>
          </a:effectLst>
        </c:spPr>
        <c:dLbl>
          <c:idx val="0"/>
          <c:layout>
            <c:manualLayout>
              <c:x val="3.2612100886946334E-2"/>
              <c:y val="-1.0720266875557116E-2"/>
            </c:manualLayout>
          </c:layout>
          <c:spPr>
            <a:solidFill>
              <a:sysClr val="window" lastClr="FFFFFF"/>
            </a:solidFill>
            <a:ln>
              <a:noFill/>
            </a:ln>
            <a:effectLst/>
          </c:spPr>
          <c:txPr>
            <a:bodyPr rot="0" spcFirstLastPara="1" vertOverflow="ellipsis" vert="horz" wrap="square" lIns="38100" tIns="19050" rIns="38100" bIns="19050" anchor="ctr" anchorCtr="1">
              <a:spAutoFit/>
            </a:bodyPr>
            <a:lstStyle/>
            <a:p>
              <a:pPr>
                <a:defRPr sz="1400" b="1" i="0" u="none" strike="noStrike" kern="1200" spc="0" baseline="0">
                  <a:solidFill>
                    <a:schemeClr val="tx1"/>
                  </a:solidFill>
                  <a:latin typeface="+mn-lt"/>
                  <a:ea typeface="+mn-ea"/>
                  <a:cs typeface="+mn-cs"/>
                </a:defRPr>
              </a:pPr>
              <a:endParaRPr lang="en-US"/>
            </a:p>
          </c:txPr>
          <c:dLblPos val="bestFit"/>
          <c:showLegendKey val="0"/>
          <c:showVal val="0"/>
          <c:showCatName val="1"/>
          <c:showSerName val="0"/>
          <c:showPercent val="1"/>
          <c:showBubbleSize val="0"/>
          <c:separator>
</c:separator>
          <c:extLst>
            <c:ext xmlns:c15="http://schemas.microsoft.com/office/drawing/2012/chart" uri="{CE6537A1-D6FC-4f65-9D91-7224C49458BB}"/>
          </c:extLst>
        </c:dLbl>
      </c:pivotFmt>
      <c:pivotFmt>
        <c:idx val="74"/>
        <c:spPr>
          <a:solidFill>
            <a:srgbClr val="FFFF66"/>
          </a:solidFill>
          <a:ln w="15875" cmpd="tri">
            <a:solidFill>
              <a:schemeClr val="tx1"/>
            </a:solidFill>
          </a:ln>
          <a:effectLst>
            <a:outerShdw blurRad="50800" dist="63500" dir="2700000" algn="tl" rotWithShape="0">
              <a:prstClr val="black">
                <a:alpha val="40000"/>
              </a:prstClr>
            </a:outerShdw>
          </a:effectLst>
        </c:spPr>
        <c:dLbl>
          <c:idx val="0"/>
          <c:layout>
            <c:manualLayout>
              <c:x val="-8.9834387415956424E-3"/>
              <c:y val="1.6080189284460172E-2"/>
            </c:manualLayout>
          </c:layout>
          <c:spPr>
            <a:solidFill>
              <a:sysClr val="window" lastClr="FFFFFF"/>
            </a:solidFill>
            <a:ln>
              <a:noFill/>
            </a:ln>
            <a:effectLst/>
          </c:spPr>
          <c:txPr>
            <a:bodyPr rot="0" spcFirstLastPara="1" vertOverflow="ellipsis" vert="horz" wrap="square" lIns="38100" tIns="19050" rIns="38100" bIns="19050" anchor="ctr" anchorCtr="1">
              <a:spAutoFit/>
            </a:bodyPr>
            <a:lstStyle/>
            <a:p>
              <a:pPr>
                <a:defRPr sz="1400" b="1" i="0" u="none" strike="noStrike" kern="1200" spc="0" baseline="0">
                  <a:solidFill>
                    <a:schemeClr val="tx1"/>
                  </a:solidFill>
                  <a:latin typeface="+mn-lt"/>
                  <a:ea typeface="+mn-ea"/>
                  <a:cs typeface="+mn-cs"/>
                </a:defRPr>
              </a:pPr>
              <a:endParaRPr lang="en-US"/>
            </a:p>
          </c:txPr>
          <c:dLblPos val="bestFit"/>
          <c:showLegendKey val="0"/>
          <c:showVal val="0"/>
          <c:showCatName val="1"/>
          <c:showSerName val="0"/>
          <c:showPercent val="1"/>
          <c:showBubbleSize val="0"/>
          <c:separator>
</c:separator>
          <c:extLst>
            <c:ext xmlns:c15="http://schemas.microsoft.com/office/drawing/2012/chart" uri="{CE6537A1-D6FC-4f65-9D91-7224C49458BB}"/>
          </c:extLst>
        </c:dLbl>
      </c:pivotFmt>
      <c:pivotFmt>
        <c:idx val="75"/>
        <c:spPr>
          <a:solidFill>
            <a:srgbClr val="FFC267"/>
          </a:solidFill>
          <a:ln w="15875" cmpd="tri">
            <a:solidFill>
              <a:schemeClr val="tx1"/>
            </a:solidFill>
          </a:ln>
          <a:effectLst>
            <a:outerShdw blurRad="50800" dist="63500" dir="2700000" algn="tl" rotWithShape="0">
              <a:prstClr val="black">
                <a:alpha val="40000"/>
              </a:prstClr>
            </a:outerShdw>
          </a:effectLst>
        </c:spPr>
        <c:dLbl>
          <c:idx val="0"/>
          <c:spPr>
            <a:solidFill>
              <a:sysClr val="window" lastClr="FFFFFF"/>
            </a:solidFill>
            <a:ln>
              <a:noFill/>
            </a:ln>
            <a:effectLst/>
          </c:spPr>
          <c:txPr>
            <a:bodyPr rot="0" spcFirstLastPara="1" vertOverflow="ellipsis" vert="horz" wrap="square" lIns="38100" tIns="19050" rIns="38100" bIns="19050" anchor="ctr" anchorCtr="1">
              <a:spAutoFit/>
            </a:bodyPr>
            <a:lstStyle/>
            <a:p>
              <a:pPr>
                <a:defRPr sz="14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separator>
</c:separator>
          <c:extLst>
            <c:ext xmlns:c15="http://schemas.microsoft.com/office/drawing/2012/chart" uri="{CE6537A1-D6FC-4f65-9D91-7224C49458BB}"/>
          </c:extLst>
        </c:dLbl>
      </c:pivotFmt>
      <c:pivotFmt>
        <c:idx val="76"/>
        <c:spPr>
          <a:solidFill>
            <a:srgbClr val="FF7D67"/>
          </a:solidFill>
          <a:ln w="15875" cmpd="tri">
            <a:solidFill>
              <a:schemeClr val="tx1"/>
            </a:solidFill>
          </a:ln>
          <a:effectLst>
            <a:outerShdw blurRad="50800" dist="63500" dir="2700000" algn="tl" rotWithShape="0">
              <a:prstClr val="black">
                <a:alpha val="40000"/>
              </a:prstClr>
            </a:outerShdw>
          </a:effectLst>
        </c:spPr>
        <c:dLbl>
          <c:idx val="0"/>
          <c:spPr>
            <a:solidFill>
              <a:sysClr val="window" lastClr="FFFFFF"/>
            </a:solidFill>
            <a:ln>
              <a:noFill/>
            </a:ln>
            <a:effectLst/>
          </c:spPr>
          <c:txPr>
            <a:bodyPr rot="0" spcFirstLastPara="1" vertOverflow="ellipsis" vert="horz" wrap="square" lIns="38100" tIns="19050" rIns="38100" bIns="19050" anchor="ctr" anchorCtr="1">
              <a:spAutoFit/>
            </a:bodyPr>
            <a:lstStyle/>
            <a:p>
              <a:pPr>
                <a:defRPr sz="14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separator>
</c:separator>
          <c:extLst>
            <c:ext xmlns:c15="http://schemas.microsoft.com/office/drawing/2012/chart" uri="{CE6537A1-D6FC-4f65-9D91-7224C49458BB}"/>
          </c:extLst>
        </c:dLbl>
      </c:pivotFmt>
      <c:pivotFmt>
        <c:idx val="77"/>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0"/>
          <c:showCatName val="0"/>
          <c:showSerName val="0"/>
          <c:showPercent val="1"/>
          <c:showBubbleSize val="0"/>
          <c:extLst>
            <c:ext xmlns:c15="http://schemas.microsoft.com/office/drawing/2012/chart" uri="{CE6537A1-D6FC-4f65-9D91-7224C49458BB}"/>
          </c:extLst>
        </c:dLbl>
      </c:pivotFmt>
      <c:pivotFmt>
        <c:idx val="78"/>
        <c:spPr>
          <a:solidFill>
            <a:schemeClr val="accent1"/>
          </a:solidFill>
          <a:ln>
            <a:noFill/>
          </a:ln>
          <a:effectLst>
            <a:outerShdw blurRad="63500" sx="102000" sy="102000" algn="ctr" rotWithShape="0">
              <a:prstClr val="black">
                <a:alpha val="20000"/>
              </a:prstClr>
            </a:outerShdw>
          </a:effectLst>
        </c:spPr>
      </c:pivotFmt>
      <c:pivotFmt>
        <c:idx val="79"/>
        <c:spPr>
          <a:solidFill>
            <a:schemeClr val="accent2"/>
          </a:solidFill>
          <a:ln>
            <a:noFill/>
          </a:ln>
          <a:effectLst>
            <a:outerShdw blurRad="63500" sx="102000" sy="102000" algn="ctr" rotWithShape="0">
              <a:prstClr val="black">
                <a:alpha val="20000"/>
              </a:prstClr>
            </a:outerShdw>
          </a:effectLst>
        </c:spPr>
      </c:pivotFmt>
      <c:pivotFmt>
        <c:idx val="80"/>
        <c:spPr>
          <a:solidFill>
            <a:schemeClr val="accent3"/>
          </a:solidFill>
          <a:ln>
            <a:noFill/>
          </a:ln>
          <a:effectLst>
            <a:outerShdw blurRad="63500" sx="102000" sy="102000" algn="ctr" rotWithShape="0">
              <a:prstClr val="black">
                <a:alpha val="20000"/>
              </a:prstClr>
            </a:outerShdw>
          </a:effectLst>
        </c:spPr>
      </c:pivotFmt>
      <c:pivotFmt>
        <c:idx val="81"/>
        <c:spPr>
          <a:solidFill>
            <a:schemeClr val="accent4"/>
          </a:solidFill>
          <a:ln>
            <a:noFill/>
          </a:ln>
          <a:effectLst>
            <a:outerShdw blurRad="63500" sx="102000" sy="102000" algn="ctr" rotWithShape="0">
              <a:prstClr val="black">
                <a:alpha val="20000"/>
              </a:prstClr>
            </a:outerShdw>
          </a:effectLst>
        </c:spPr>
      </c:pivotFmt>
      <c:pivotFmt>
        <c:idx val="82"/>
        <c:spPr>
          <a:solidFill>
            <a:schemeClr val="accent5"/>
          </a:solidFill>
          <a:ln>
            <a:noFill/>
          </a:ln>
          <a:effectLst>
            <a:outerShdw blurRad="63500" sx="102000" sy="102000" algn="ctr" rotWithShape="0">
              <a:prstClr val="black">
                <a:alpha val="20000"/>
              </a:prstClr>
            </a:outerShdw>
          </a:effectLst>
        </c:spPr>
      </c:pivotFmt>
      <c:pivotFmt>
        <c:idx val="83"/>
        <c:spPr>
          <a:ln w="15875" cmpd="tri">
            <a:solidFill>
              <a:schemeClr val="tx1"/>
            </a:solidFill>
          </a:ln>
          <a:effectLst>
            <a:outerShdw blurRad="50800" dist="63500" dir="2700000" algn="tl" rotWithShape="0">
              <a:prstClr val="black">
                <a:alpha val="40000"/>
              </a:prstClr>
            </a:outerShdw>
          </a:effectLst>
        </c:spPr>
        <c:marker>
          <c:symbol val="none"/>
        </c:marker>
        <c:dLbl>
          <c:idx val="0"/>
          <c:spPr>
            <a:solidFill>
              <a:sysClr val="window" lastClr="FFFFFF"/>
            </a:solidFill>
          </c:spPr>
          <c:txPr>
            <a:bodyPr rot="0" spcFirstLastPara="1" vertOverflow="ellipsis" vert="horz" wrap="square" lIns="38100" tIns="19050" rIns="38100" bIns="19050" anchor="ctr" anchorCtr="1">
              <a:spAutoFit/>
            </a:bodyPr>
            <a:lstStyle/>
            <a:p>
              <a:pPr>
                <a:defRPr sz="1400" b="1" i="0" u="none" strike="noStrike" kern="1200" spc="0" baseline="0">
                  <a:solidFill>
                    <a:schemeClr val="tx1"/>
                  </a:solidFill>
                  <a:latin typeface="+mn-lt"/>
                  <a:ea typeface="+mn-ea"/>
                  <a:cs typeface="+mn-cs"/>
                </a:defRPr>
              </a:pPr>
              <a:endParaRPr lang="en-US"/>
            </a:p>
          </c:txPr>
          <c:showLegendKey val="0"/>
          <c:showVal val="0"/>
          <c:showCatName val="0"/>
          <c:showSerName val="0"/>
          <c:showPercent val="1"/>
          <c:showBubbleSize val="0"/>
          <c:separator>
</c:separator>
          <c:extLst>
            <c:ext xmlns:c15="http://schemas.microsoft.com/office/drawing/2012/chart" uri="{CE6537A1-D6FC-4f65-9D91-7224C49458BB}"/>
          </c:extLst>
        </c:dLbl>
      </c:pivotFmt>
      <c:pivotFmt>
        <c:idx val="84"/>
        <c:spPr>
          <a:solidFill>
            <a:srgbClr val="99BD66"/>
          </a:solidFill>
          <a:ln w="15875" cmpd="tri">
            <a:solidFill>
              <a:schemeClr val="tx1"/>
            </a:solidFill>
          </a:ln>
          <a:effectLst>
            <a:outerShdw blurRad="50800" dist="63500" dir="2700000" algn="tl" rotWithShape="0">
              <a:prstClr val="black">
                <a:alpha val="40000"/>
              </a:prstClr>
            </a:outerShdw>
          </a:effectLst>
        </c:spPr>
        <c:dLbl>
          <c:idx val="0"/>
          <c:spPr>
            <a:solidFill>
              <a:sysClr val="window" lastClr="FFFFFF"/>
            </a:solidFill>
            <a:ln>
              <a:noFill/>
            </a:ln>
            <a:effectLst/>
          </c:spPr>
          <c:txPr>
            <a:bodyPr rot="0" spcFirstLastPara="1" vertOverflow="ellipsis" vert="horz" wrap="square" lIns="38100" tIns="19050" rIns="38100" bIns="19050" anchor="ctr" anchorCtr="1">
              <a:spAutoFit/>
            </a:bodyPr>
            <a:lstStyle/>
            <a:p>
              <a:pPr>
                <a:defRPr sz="14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separator>
</c:separator>
          <c:extLst>
            <c:ext xmlns:c15="http://schemas.microsoft.com/office/drawing/2012/chart" uri="{CE6537A1-D6FC-4f65-9D91-7224C49458BB}"/>
          </c:extLst>
        </c:dLbl>
      </c:pivotFmt>
      <c:pivotFmt>
        <c:idx val="85"/>
        <c:spPr>
          <a:solidFill>
            <a:srgbClr val="C1FFC1"/>
          </a:solidFill>
          <a:ln w="15875" cmpd="tri">
            <a:solidFill>
              <a:schemeClr val="tx1"/>
            </a:solidFill>
          </a:ln>
          <a:effectLst>
            <a:outerShdw blurRad="50800" dist="63500" dir="2700000" algn="tl" rotWithShape="0">
              <a:prstClr val="black">
                <a:alpha val="40000"/>
              </a:prstClr>
            </a:outerShdw>
          </a:effectLst>
        </c:spPr>
        <c:dLbl>
          <c:idx val="0"/>
          <c:layout>
            <c:manualLayout>
              <c:x val="3.2612100886946334E-2"/>
              <c:y val="-1.0720266875557116E-2"/>
            </c:manualLayout>
          </c:layout>
          <c:spPr>
            <a:solidFill>
              <a:sysClr val="window" lastClr="FFFFFF"/>
            </a:solidFill>
            <a:ln>
              <a:noFill/>
            </a:ln>
            <a:effectLst/>
          </c:spPr>
          <c:txPr>
            <a:bodyPr rot="0" spcFirstLastPara="1" vertOverflow="ellipsis" vert="horz" wrap="square" lIns="38100" tIns="19050" rIns="38100" bIns="19050" anchor="ctr" anchorCtr="1">
              <a:spAutoFit/>
            </a:bodyPr>
            <a:lstStyle/>
            <a:p>
              <a:pPr>
                <a:defRPr sz="1400" b="1" i="0" u="none" strike="noStrike" kern="1200" spc="0" baseline="0">
                  <a:solidFill>
                    <a:schemeClr val="tx1"/>
                  </a:solidFill>
                  <a:latin typeface="+mn-lt"/>
                  <a:ea typeface="+mn-ea"/>
                  <a:cs typeface="+mn-cs"/>
                </a:defRPr>
              </a:pPr>
              <a:endParaRPr lang="en-US"/>
            </a:p>
          </c:txPr>
          <c:dLblPos val="bestFit"/>
          <c:showLegendKey val="0"/>
          <c:showVal val="0"/>
          <c:showCatName val="1"/>
          <c:showSerName val="0"/>
          <c:showPercent val="1"/>
          <c:showBubbleSize val="0"/>
          <c:separator>
</c:separator>
          <c:extLst>
            <c:ext xmlns:c15="http://schemas.microsoft.com/office/drawing/2012/chart" uri="{CE6537A1-D6FC-4f65-9D91-7224C49458BB}"/>
          </c:extLst>
        </c:dLbl>
      </c:pivotFmt>
      <c:pivotFmt>
        <c:idx val="86"/>
        <c:spPr>
          <a:solidFill>
            <a:srgbClr val="FFFF66"/>
          </a:solidFill>
          <a:ln w="15875" cmpd="tri">
            <a:solidFill>
              <a:schemeClr val="tx1"/>
            </a:solidFill>
          </a:ln>
          <a:effectLst>
            <a:outerShdw blurRad="50800" dist="63500" dir="2700000" algn="tl" rotWithShape="0">
              <a:prstClr val="black">
                <a:alpha val="40000"/>
              </a:prstClr>
            </a:outerShdw>
          </a:effectLst>
        </c:spPr>
        <c:dLbl>
          <c:idx val="0"/>
          <c:layout>
            <c:manualLayout>
              <c:x val="-8.9834387415956424E-3"/>
              <c:y val="1.6080189284460172E-2"/>
            </c:manualLayout>
          </c:layout>
          <c:spPr>
            <a:solidFill>
              <a:sysClr val="window" lastClr="FFFFFF"/>
            </a:solidFill>
            <a:ln>
              <a:noFill/>
            </a:ln>
            <a:effectLst/>
          </c:spPr>
          <c:txPr>
            <a:bodyPr rot="0" spcFirstLastPara="1" vertOverflow="ellipsis" vert="horz" wrap="square" lIns="38100" tIns="19050" rIns="38100" bIns="19050" anchor="ctr" anchorCtr="1">
              <a:spAutoFit/>
            </a:bodyPr>
            <a:lstStyle/>
            <a:p>
              <a:pPr>
                <a:defRPr sz="1400" b="1" i="0" u="none" strike="noStrike" kern="1200" spc="0" baseline="0">
                  <a:solidFill>
                    <a:schemeClr val="tx1"/>
                  </a:solidFill>
                  <a:latin typeface="+mn-lt"/>
                  <a:ea typeface="+mn-ea"/>
                  <a:cs typeface="+mn-cs"/>
                </a:defRPr>
              </a:pPr>
              <a:endParaRPr lang="en-US"/>
            </a:p>
          </c:txPr>
          <c:dLblPos val="bestFit"/>
          <c:showLegendKey val="0"/>
          <c:showVal val="0"/>
          <c:showCatName val="1"/>
          <c:showSerName val="0"/>
          <c:showPercent val="1"/>
          <c:showBubbleSize val="0"/>
          <c:separator>
</c:separator>
          <c:extLst>
            <c:ext xmlns:c15="http://schemas.microsoft.com/office/drawing/2012/chart" uri="{CE6537A1-D6FC-4f65-9D91-7224C49458BB}"/>
          </c:extLst>
        </c:dLbl>
      </c:pivotFmt>
      <c:pivotFmt>
        <c:idx val="87"/>
        <c:spPr>
          <a:solidFill>
            <a:srgbClr val="FFC267"/>
          </a:solidFill>
          <a:ln w="15875" cmpd="tri">
            <a:solidFill>
              <a:schemeClr val="tx1"/>
            </a:solidFill>
          </a:ln>
          <a:effectLst>
            <a:outerShdw blurRad="50800" dist="63500" dir="2700000" algn="tl" rotWithShape="0">
              <a:prstClr val="black">
                <a:alpha val="40000"/>
              </a:prstClr>
            </a:outerShdw>
          </a:effectLst>
        </c:spPr>
        <c:dLbl>
          <c:idx val="0"/>
          <c:spPr>
            <a:solidFill>
              <a:sysClr val="window" lastClr="FFFFFF"/>
            </a:solidFill>
            <a:ln>
              <a:noFill/>
            </a:ln>
            <a:effectLst/>
          </c:spPr>
          <c:txPr>
            <a:bodyPr rot="0" spcFirstLastPara="1" vertOverflow="ellipsis" vert="horz" wrap="square" lIns="38100" tIns="19050" rIns="38100" bIns="19050" anchor="ctr" anchorCtr="1">
              <a:spAutoFit/>
            </a:bodyPr>
            <a:lstStyle/>
            <a:p>
              <a:pPr>
                <a:defRPr sz="14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separator>
</c:separator>
          <c:extLst>
            <c:ext xmlns:c15="http://schemas.microsoft.com/office/drawing/2012/chart" uri="{CE6537A1-D6FC-4f65-9D91-7224C49458BB}"/>
          </c:extLst>
        </c:dLbl>
      </c:pivotFmt>
      <c:pivotFmt>
        <c:idx val="88"/>
        <c:spPr>
          <a:solidFill>
            <a:srgbClr val="FF7D67"/>
          </a:solidFill>
          <a:ln w="15875" cmpd="tri">
            <a:solidFill>
              <a:schemeClr val="tx1"/>
            </a:solidFill>
          </a:ln>
          <a:effectLst>
            <a:outerShdw blurRad="50800" dist="63500" dir="2700000" algn="tl" rotWithShape="0">
              <a:prstClr val="black">
                <a:alpha val="40000"/>
              </a:prstClr>
            </a:outerShdw>
          </a:effectLst>
        </c:spPr>
        <c:dLbl>
          <c:idx val="0"/>
          <c:spPr>
            <a:solidFill>
              <a:sysClr val="window" lastClr="FFFFFF"/>
            </a:solidFill>
            <a:ln>
              <a:noFill/>
            </a:ln>
            <a:effectLst/>
          </c:spPr>
          <c:txPr>
            <a:bodyPr rot="0" spcFirstLastPara="1" vertOverflow="ellipsis" vert="horz" wrap="square" lIns="38100" tIns="19050" rIns="38100" bIns="19050" anchor="ctr" anchorCtr="1">
              <a:spAutoFit/>
            </a:bodyPr>
            <a:lstStyle/>
            <a:p>
              <a:pPr>
                <a:defRPr sz="14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separator>
</c:separator>
          <c:extLst>
            <c:ext xmlns:c15="http://schemas.microsoft.com/office/drawing/2012/chart" uri="{CE6537A1-D6FC-4f65-9D91-7224C49458BB}"/>
          </c:extLst>
        </c:dLbl>
      </c:pivotFmt>
      <c:pivotFmt>
        <c:idx val="89"/>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0"/>
          <c:showCatName val="0"/>
          <c:showSerName val="0"/>
          <c:showPercent val="1"/>
          <c:showBubbleSize val="0"/>
          <c:extLst>
            <c:ext xmlns:c15="http://schemas.microsoft.com/office/drawing/2012/chart" uri="{CE6537A1-D6FC-4f65-9D91-7224C49458BB}"/>
          </c:extLst>
        </c:dLbl>
      </c:pivotFmt>
      <c:pivotFmt>
        <c:idx val="90"/>
        <c:spPr>
          <a:solidFill>
            <a:schemeClr val="accent1"/>
          </a:solidFill>
          <a:ln>
            <a:noFill/>
          </a:ln>
          <a:effectLst>
            <a:outerShdw blurRad="63500" sx="102000" sy="102000" algn="ctr" rotWithShape="0">
              <a:prstClr val="black">
                <a:alpha val="20000"/>
              </a:prstClr>
            </a:outerShdw>
          </a:effectLst>
        </c:spPr>
      </c:pivotFmt>
      <c:pivotFmt>
        <c:idx val="91"/>
        <c:spPr>
          <a:solidFill>
            <a:schemeClr val="accent2"/>
          </a:solidFill>
          <a:ln>
            <a:noFill/>
          </a:ln>
          <a:effectLst>
            <a:outerShdw blurRad="63500" sx="102000" sy="102000" algn="ctr" rotWithShape="0">
              <a:prstClr val="black">
                <a:alpha val="20000"/>
              </a:prstClr>
            </a:outerShdw>
          </a:effectLst>
        </c:spPr>
      </c:pivotFmt>
      <c:pivotFmt>
        <c:idx val="92"/>
        <c:spPr>
          <a:solidFill>
            <a:schemeClr val="accent3"/>
          </a:solidFill>
          <a:ln>
            <a:noFill/>
          </a:ln>
          <a:effectLst>
            <a:outerShdw blurRad="63500" sx="102000" sy="102000" algn="ctr" rotWithShape="0">
              <a:prstClr val="black">
                <a:alpha val="20000"/>
              </a:prstClr>
            </a:outerShdw>
          </a:effectLst>
        </c:spPr>
      </c:pivotFmt>
      <c:pivotFmt>
        <c:idx val="93"/>
        <c:spPr>
          <a:solidFill>
            <a:schemeClr val="accent4"/>
          </a:solidFill>
          <a:ln>
            <a:noFill/>
          </a:ln>
          <a:effectLst>
            <a:outerShdw blurRad="63500" sx="102000" sy="102000" algn="ctr" rotWithShape="0">
              <a:prstClr val="black">
                <a:alpha val="20000"/>
              </a:prstClr>
            </a:outerShdw>
          </a:effectLst>
        </c:spPr>
      </c:pivotFmt>
      <c:pivotFmt>
        <c:idx val="94"/>
        <c:spPr>
          <a:solidFill>
            <a:schemeClr val="accent5"/>
          </a:solidFill>
          <a:ln>
            <a:noFill/>
          </a:ln>
          <a:effectLst>
            <a:outerShdw blurRad="63500" sx="102000" sy="102000" algn="ctr" rotWithShape="0">
              <a:prstClr val="black">
                <a:alpha val="20000"/>
              </a:prstClr>
            </a:outerShdw>
          </a:effectLst>
        </c:spPr>
      </c:pivotFmt>
      <c:pivotFmt>
        <c:idx val="95"/>
        <c:spPr>
          <a:ln w="15875" cmpd="tri">
            <a:solidFill>
              <a:schemeClr val="tx1"/>
            </a:solidFill>
          </a:ln>
          <a:effectLst>
            <a:outerShdw blurRad="50800" dist="63500" dir="2700000" algn="tl" rotWithShape="0">
              <a:prstClr val="black">
                <a:alpha val="40000"/>
              </a:prstClr>
            </a:outerShdw>
          </a:effectLst>
        </c:spPr>
        <c:marker>
          <c:symbol val="none"/>
        </c:marker>
        <c:dLbl>
          <c:idx val="0"/>
          <c:spPr>
            <a:solidFill>
              <a:sysClr val="window" lastClr="FFFFFF"/>
            </a:solidFill>
          </c:spPr>
          <c:txPr>
            <a:bodyPr rot="0" spcFirstLastPara="1" vertOverflow="ellipsis" vert="horz" wrap="square" lIns="38100" tIns="19050" rIns="38100" bIns="19050" anchor="ctr" anchorCtr="1">
              <a:spAutoFit/>
            </a:bodyPr>
            <a:lstStyle/>
            <a:p>
              <a:pPr>
                <a:defRPr sz="1400" b="1" i="0" u="none" strike="noStrike" kern="1200" spc="0" baseline="0">
                  <a:solidFill>
                    <a:schemeClr val="tx1"/>
                  </a:solidFill>
                  <a:latin typeface="+mn-lt"/>
                  <a:ea typeface="+mn-ea"/>
                  <a:cs typeface="+mn-cs"/>
                </a:defRPr>
              </a:pPr>
              <a:endParaRPr lang="en-US"/>
            </a:p>
          </c:txPr>
          <c:showLegendKey val="0"/>
          <c:showVal val="0"/>
          <c:showCatName val="0"/>
          <c:showSerName val="0"/>
          <c:showPercent val="1"/>
          <c:showBubbleSize val="0"/>
          <c:separator>
</c:separator>
          <c:extLst>
            <c:ext xmlns:c15="http://schemas.microsoft.com/office/drawing/2012/chart" uri="{CE6537A1-D6FC-4f65-9D91-7224C49458BB}"/>
          </c:extLst>
        </c:dLbl>
      </c:pivotFmt>
      <c:pivotFmt>
        <c:idx val="96"/>
        <c:spPr>
          <a:solidFill>
            <a:srgbClr val="99BD66"/>
          </a:solidFill>
          <a:ln w="15875" cmpd="tri">
            <a:solidFill>
              <a:schemeClr val="tx1"/>
            </a:solidFill>
          </a:ln>
          <a:effectLst>
            <a:outerShdw blurRad="50800" dist="63500" dir="2700000" algn="tl" rotWithShape="0">
              <a:prstClr val="black">
                <a:alpha val="40000"/>
              </a:prstClr>
            </a:outerShdw>
          </a:effectLst>
        </c:spPr>
        <c:dLbl>
          <c:idx val="0"/>
          <c:spPr>
            <a:solidFill>
              <a:sysClr val="window" lastClr="FFFFFF"/>
            </a:solidFill>
            <a:ln>
              <a:noFill/>
            </a:ln>
            <a:effectLst/>
          </c:spPr>
          <c:txPr>
            <a:bodyPr rot="0" spcFirstLastPara="1" vertOverflow="ellipsis" vert="horz" wrap="square" lIns="38100" tIns="19050" rIns="38100" bIns="19050" anchor="ctr" anchorCtr="1">
              <a:spAutoFit/>
            </a:bodyPr>
            <a:lstStyle/>
            <a:p>
              <a:pPr>
                <a:defRPr sz="14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separator>
</c:separator>
          <c:extLst>
            <c:ext xmlns:c15="http://schemas.microsoft.com/office/drawing/2012/chart" uri="{CE6537A1-D6FC-4f65-9D91-7224C49458BB}"/>
          </c:extLst>
        </c:dLbl>
      </c:pivotFmt>
      <c:pivotFmt>
        <c:idx val="97"/>
        <c:spPr>
          <a:solidFill>
            <a:srgbClr val="C1FFC1"/>
          </a:solidFill>
          <a:ln w="15875" cmpd="tri">
            <a:solidFill>
              <a:schemeClr val="tx1"/>
            </a:solidFill>
          </a:ln>
          <a:effectLst>
            <a:outerShdw blurRad="50800" dist="63500" dir="2700000" algn="tl" rotWithShape="0">
              <a:prstClr val="black">
                <a:alpha val="40000"/>
              </a:prstClr>
            </a:outerShdw>
          </a:effectLst>
        </c:spPr>
        <c:dLbl>
          <c:idx val="0"/>
          <c:layout>
            <c:manualLayout>
              <c:x val="3.2612100886946334E-2"/>
              <c:y val="-1.0720266875557116E-2"/>
            </c:manualLayout>
          </c:layout>
          <c:spPr>
            <a:solidFill>
              <a:sysClr val="window" lastClr="FFFFFF"/>
            </a:solidFill>
            <a:ln>
              <a:noFill/>
            </a:ln>
            <a:effectLst/>
          </c:spPr>
          <c:txPr>
            <a:bodyPr rot="0" spcFirstLastPara="1" vertOverflow="ellipsis" vert="horz" wrap="square" lIns="38100" tIns="19050" rIns="38100" bIns="19050" anchor="ctr" anchorCtr="1">
              <a:spAutoFit/>
            </a:bodyPr>
            <a:lstStyle/>
            <a:p>
              <a:pPr>
                <a:defRPr sz="1400" b="1" i="0" u="none" strike="noStrike" kern="1200" spc="0" baseline="0">
                  <a:solidFill>
                    <a:schemeClr val="tx1"/>
                  </a:solidFill>
                  <a:latin typeface="+mn-lt"/>
                  <a:ea typeface="+mn-ea"/>
                  <a:cs typeface="+mn-cs"/>
                </a:defRPr>
              </a:pPr>
              <a:endParaRPr lang="en-US"/>
            </a:p>
          </c:txPr>
          <c:dLblPos val="bestFit"/>
          <c:showLegendKey val="0"/>
          <c:showVal val="0"/>
          <c:showCatName val="1"/>
          <c:showSerName val="0"/>
          <c:showPercent val="1"/>
          <c:showBubbleSize val="0"/>
          <c:separator>
</c:separator>
          <c:extLst>
            <c:ext xmlns:c15="http://schemas.microsoft.com/office/drawing/2012/chart" uri="{CE6537A1-D6FC-4f65-9D91-7224C49458BB}"/>
          </c:extLst>
        </c:dLbl>
      </c:pivotFmt>
      <c:pivotFmt>
        <c:idx val="98"/>
        <c:spPr>
          <a:solidFill>
            <a:srgbClr val="FFFF66"/>
          </a:solidFill>
          <a:ln w="15875" cmpd="tri">
            <a:solidFill>
              <a:schemeClr val="tx1"/>
            </a:solidFill>
          </a:ln>
          <a:effectLst>
            <a:outerShdw blurRad="50800" dist="63500" dir="2700000" algn="tl" rotWithShape="0">
              <a:prstClr val="black">
                <a:alpha val="40000"/>
              </a:prstClr>
            </a:outerShdw>
          </a:effectLst>
        </c:spPr>
        <c:dLbl>
          <c:idx val="0"/>
          <c:layout>
            <c:manualLayout>
              <c:x val="-8.9834387415956424E-3"/>
              <c:y val="1.6080189284460172E-2"/>
            </c:manualLayout>
          </c:layout>
          <c:spPr>
            <a:solidFill>
              <a:sysClr val="window" lastClr="FFFFFF"/>
            </a:solidFill>
            <a:ln>
              <a:noFill/>
            </a:ln>
            <a:effectLst/>
          </c:spPr>
          <c:txPr>
            <a:bodyPr rot="0" spcFirstLastPara="1" vertOverflow="ellipsis" vert="horz" wrap="square" lIns="38100" tIns="19050" rIns="38100" bIns="19050" anchor="ctr" anchorCtr="1">
              <a:spAutoFit/>
            </a:bodyPr>
            <a:lstStyle/>
            <a:p>
              <a:pPr>
                <a:defRPr sz="1400" b="1" i="0" u="none" strike="noStrike" kern="1200" spc="0" baseline="0">
                  <a:solidFill>
                    <a:schemeClr val="tx1"/>
                  </a:solidFill>
                  <a:latin typeface="+mn-lt"/>
                  <a:ea typeface="+mn-ea"/>
                  <a:cs typeface="+mn-cs"/>
                </a:defRPr>
              </a:pPr>
              <a:endParaRPr lang="en-US"/>
            </a:p>
          </c:txPr>
          <c:dLblPos val="bestFit"/>
          <c:showLegendKey val="0"/>
          <c:showVal val="0"/>
          <c:showCatName val="1"/>
          <c:showSerName val="0"/>
          <c:showPercent val="1"/>
          <c:showBubbleSize val="0"/>
          <c:separator>
</c:separator>
          <c:extLst>
            <c:ext xmlns:c15="http://schemas.microsoft.com/office/drawing/2012/chart" uri="{CE6537A1-D6FC-4f65-9D91-7224C49458BB}"/>
          </c:extLst>
        </c:dLbl>
      </c:pivotFmt>
      <c:pivotFmt>
        <c:idx val="99"/>
        <c:spPr>
          <a:solidFill>
            <a:srgbClr val="FFC267"/>
          </a:solidFill>
          <a:ln w="15875" cmpd="tri">
            <a:solidFill>
              <a:schemeClr val="tx1"/>
            </a:solidFill>
          </a:ln>
          <a:effectLst>
            <a:outerShdw blurRad="50800" dist="63500" dir="2700000" algn="tl" rotWithShape="0">
              <a:prstClr val="black">
                <a:alpha val="40000"/>
              </a:prstClr>
            </a:outerShdw>
          </a:effectLst>
        </c:spPr>
        <c:dLbl>
          <c:idx val="0"/>
          <c:spPr>
            <a:solidFill>
              <a:sysClr val="window" lastClr="FFFFFF"/>
            </a:solidFill>
            <a:ln>
              <a:noFill/>
            </a:ln>
            <a:effectLst/>
          </c:spPr>
          <c:txPr>
            <a:bodyPr rot="0" spcFirstLastPara="1" vertOverflow="ellipsis" vert="horz" wrap="square" lIns="38100" tIns="19050" rIns="38100" bIns="19050" anchor="ctr" anchorCtr="1">
              <a:spAutoFit/>
            </a:bodyPr>
            <a:lstStyle/>
            <a:p>
              <a:pPr>
                <a:defRPr sz="14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separator>
</c:separator>
          <c:extLst>
            <c:ext xmlns:c15="http://schemas.microsoft.com/office/drawing/2012/chart" uri="{CE6537A1-D6FC-4f65-9D91-7224C49458BB}"/>
          </c:extLst>
        </c:dLbl>
      </c:pivotFmt>
      <c:pivotFmt>
        <c:idx val="100"/>
        <c:spPr>
          <a:solidFill>
            <a:srgbClr val="FF7D67"/>
          </a:solidFill>
          <a:ln w="15875" cmpd="tri">
            <a:solidFill>
              <a:schemeClr val="tx1"/>
            </a:solidFill>
          </a:ln>
          <a:effectLst>
            <a:outerShdw blurRad="50800" dist="63500" dir="2700000" algn="tl" rotWithShape="0">
              <a:prstClr val="black">
                <a:alpha val="40000"/>
              </a:prstClr>
            </a:outerShdw>
          </a:effectLst>
        </c:spPr>
        <c:dLbl>
          <c:idx val="0"/>
          <c:spPr>
            <a:solidFill>
              <a:sysClr val="window" lastClr="FFFFFF"/>
            </a:solidFill>
            <a:ln>
              <a:noFill/>
            </a:ln>
            <a:effectLst/>
          </c:spPr>
          <c:txPr>
            <a:bodyPr rot="0" spcFirstLastPara="1" vertOverflow="ellipsis" vert="horz" wrap="square" lIns="38100" tIns="19050" rIns="38100" bIns="19050" anchor="ctr" anchorCtr="1">
              <a:spAutoFit/>
            </a:bodyPr>
            <a:lstStyle/>
            <a:p>
              <a:pPr>
                <a:defRPr sz="14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separator>
</c:separator>
          <c:extLst>
            <c:ext xmlns:c15="http://schemas.microsoft.com/office/drawing/2012/chart" uri="{CE6537A1-D6FC-4f65-9D91-7224C49458BB}"/>
          </c:extLst>
        </c:dLbl>
      </c:pivotFmt>
      <c:pivotFmt>
        <c:idx val="101"/>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0"/>
          <c:showCatName val="0"/>
          <c:showSerName val="0"/>
          <c:showPercent val="1"/>
          <c:showBubbleSize val="0"/>
          <c:extLst>
            <c:ext xmlns:c15="http://schemas.microsoft.com/office/drawing/2012/chart" uri="{CE6537A1-D6FC-4f65-9D91-7224C49458BB}"/>
          </c:extLst>
        </c:dLbl>
      </c:pivotFmt>
      <c:pivotFmt>
        <c:idx val="102"/>
        <c:spPr>
          <a:solidFill>
            <a:schemeClr val="accent1"/>
          </a:solidFill>
          <a:ln>
            <a:noFill/>
          </a:ln>
          <a:effectLst>
            <a:outerShdw blurRad="63500" sx="102000" sy="102000" algn="ctr" rotWithShape="0">
              <a:prstClr val="black">
                <a:alpha val="20000"/>
              </a:prstClr>
            </a:outerShdw>
          </a:effectLst>
        </c:spPr>
      </c:pivotFmt>
      <c:pivotFmt>
        <c:idx val="103"/>
        <c:spPr>
          <a:solidFill>
            <a:schemeClr val="accent2"/>
          </a:solidFill>
          <a:ln>
            <a:noFill/>
          </a:ln>
          <a:effectLst>
            <a:outerShdw blurRad="63500" sx="102000" sy="102000" algn="ctr" rotWithShape="0">
              <a:prstClr val="black">
                <a:alpha val="20000"/>
              </a:prstClr>
            </a:outerShdw>
          </a:effectLst>
        </c:spPr>
      </c:pivotFmt>
      <c:pivotFmt>
        <c:idx val="104"/>
        <c:spPr>
          <a:solidFill>
            <a:schemeClr val="accent3"/>
          </a:solidFill>
          <a:ln>
            <a:noFill/>
          </a:ln>
          <a:effectLst>
            <a:outerShdw blurRad="63500" sx="102000" sy="102000" algn="ctr" rotWithShape="0">
              <a:prstClr val="black">
                <a:alpha val="20000"/>
              </a:prstClr>
            </a:outerShdw>
          </a:effectLst>
        </c:spPr>
      </c:pivotFmt>
      <c:pivotFmt>
        <c:idx val="105"/>
        <c:spPr>
          <a:solidFill>
            <a:schemeClr val="accent4"/>
          </a:solidFill>
          <a:ln>
            <a:noFill/>
          </a:ln>
          <a:effectLst>
            <a:outerShdw blurRad="63500" sx="102000" sy="102000" algn="ctr" rotWithShape="0">
              <a:prstClr val="black">
                <a:alpha val="20000"/>
              </a:prstClr>
            </a:outerShdw>
          </a:effectLst>
        </c:spPr>
      </c:pivotFmt>
      <c:pivotFmt>
        <c:idx val="106"/>
        <c:spPr>
          <a:solidFill>
            <a:schemeClr val="accent5"/>
          </a:solidFill>
          <a:ln>
            <a:noFill/>
          </a:ln>
          <a:effectLst>
            <a:outerShdw blurRad="63500" sx="102000" sy="102000" algn="ctr" rotWithShape="0">
              <a:prstClr val="black">
                <a:alpha val="20000"/>
              </a:prstClr>
            </a:outerShdw>
          </a:effectLst>
        </c:spPr>
      </c:pivotFmt>
    </c:pivotFmts>
    <c:plotArea>
      <c:layout/>
      <c:pieChart>
        <c:varyColors val="1"/>
        <c:ser>
          <c:idx val="0"/>
          <c:order val="0"/>
          <c:tx>
            <c:strRef>
              <c:f>'Statistics October'!$C$13</c:f>
              <c:strCache>
                <c:ptCount val="1"/>
                <c:pt idx="0">
                  <c:v># Authorities</c:v>
                </c:pt>
              </c:strCache>
            </c:strRef>
          </c:tx>
          <c:spPr>
            <a:ln w="15875" cmpd="tri">
              <a:solidFill>
                <a:schemeClr val="tx1"/>
              </a:solidFill>
            </a:ln>
            <a:effectLst>
              <a:outerShdw blurRad="50800" dist="63500" dir="2700000" algn="tl" rotWithShape="0">
                <a:prstClr val="black">
                  <a:alpha val="40000"/>
                </a:prstClr>
              </a:outerShdw>
            </a:effectLst>
          </c:spPr>
          <c:explosion val="3"/>
          <c:dPt>
            <c:idx val="0"/>
            <c:bubble3D val="0"/>
            <c:spPr>
              <a:solidFill>
                <a:srgbClr val="99BD66"/>
              </a:solidFill>
              <a:ln w="15875" cmpd="tri">
                <a:solidFill>
                  <a:schemeClr val="tx1"/>
                </a:solidFill>
              </a:ln>
              <a:effectLst>
                <a:outerShdw blurRad="50800" dist="63500" dir="2700000" algn="tl" rotWithShape="0">
                  <a:prstClr val="black">
                    <a:alpha val="40000"/>
                  </a:prstClr>
                </a:outerShdw>
              </a:effectLst>
            </c:spPr>
            <c:extLst>
              <c:ext xmlns:c16="http://schemas.microsoft.com/office/drawing/2014/chart" uri="{C3380CC4-5D6E-409C-BE32-E72D297353CC}">
                <c16:uniqueId val="{00000001-D498-4186-878C-62C650050A7C}"/>
              </c:ext>
            </c:extLst>
          </c:dPt>
          <c:dPt>
            <c:idx val="1"/>
            <c:bubble3D val="0"/>
            <c:spPr>
              <a:solidFill>
                <a:srgbClr val="C1FFC1"/>
              </a:solidFill>
              <a:ln w="15875" cmpd="tri">
                <a:solidFill>
                  <a:schemeClr val="tx1"/>
                </a:solidFill>
              </a:ln>
              <a:effectLst>
                <a:outerShdw blurRad="50800" dist="63500" dir="2700000" algn="tl" rotWithShape="0">
                  <a:prstClr val="black">
                    <a:alpha val="40000"/>
                  </a:prstClr>
                </a:outerShdw>
              </a:effectLst>
            </c:spPr>
            <c:extLst>
              <c:ext xmlns:c16="http://schemas.microsoft.com/office/drawing/2014/chart" uri="{C3380CC4-5D6E-409C-BE32-E72D297353CC}">
                <c16:uniqueId val="{00000003-D498-4186-878C-62C650050A7C}"/>
              </c:ext>
            </c:extLst>
          </c:dPt>
          <c:dPt>
            <c:idx val="2"/>
            <c:bubble3D val="0"/>
            <c:spPr>
              <a:solidFill>
                <a:srgbClr val="FFFF66"/>
              </a:solidFill>
              <a:ln w="15875" cmpd="tri">
                <a:solidFill>
                  <a:schemeClr val="tx1"/>
                </a:solidFill>
              </a:ln>
              <a:effectLst>
                <a:outerShdw blurRad="50800" dist="63500" dir="2700000" algn="tl" rotWithShape="0">
                  <a:prstClr val="black">
                    <a:alpha val="40000"/>
                  </a:prstClr>
                </a:outerShdw>
              </a:effectLst>
            </c:spPr>
            <c:extLst>
              <c:ext xmlns:c16="http://schemas.microsoft.com/office/drawing/2014/chart" uri="{C3380CC4-5D6E-409C-BE32-E72D297353CC}">
                <c16:uniqueId val="{00000005-D498-4186-878C-62C650050A7C}"/>
              </c:ext>
            </c:extLst>
          </c:dPt>
          <c:dPt>
            <c:idx val="3"/>
            <c:bubble3D val="0"/>
            <c:spPr>
              <a:solidFill>
                <a:srgbClr val="FFC267"/>
              </a:solidFill>
              <a:ln w="15875" cmpd="tri">
                <a:solidFill>
                  <a:schemeClr val="tx1"/>
                </a:solidFill>
              </a:ln>
              <a:effectLst>
                <a:outerShdw blurRad="50800" dist="63500" dir="2700000" algn="tl" rotWithShape="0">
                  <a:prstClr val="black">
                    <a:alpha val="40000"/>
                  </a:prstClr>
                </a:outerShdw>
              </a:effectLst>
            </c:spPr>
            <c:extLst>
              <c:ext xmlns:c16="http://schemas.microsoft.com/office/drawing/2014/chart" uri="{C3380CC4-5D6E-409C-BE32-E72D297353CC}">
                <c16:uniqueId val="{00000007-D498-4186-878C-62C650050A7C}"/>
              </c:ext>
            </c:extLst>
          </c:dPt>
          <c:dPt>
            <c:idx val="4"/>
            <c:bubble3D val="0"/>
            <c:spPr>
              <a:solidFill>
                <a:srgbClr val="FF7D67"/>
              </a:solidFill>
              <a:ln w="15875" cmpd="tri">
                <a:solidFill>
                  <a:schemeClr val="tx1"/>
                </a:solidFill>
              </a:ln>
              <a:effectLst>
                <a:outerShdw blurRad="50800" dist="63500" dir="2700000" algn="tl" rotWithShape="0">
                  <a:prstClr val="black">
                    <a:alpha val="40000"/>
                  </a:prstClr>
                </a:outerShdw>
              </a:effectLst>
            </c:spPr>
            <c:extLst>
              <c:ext xmlns:c16="http://schemas.microsoft.com/office/drawing/2014/chart" uri="{C3380CC4-5D6E-409C-BE32-E72D297353CC}">
                <c16:uniqueId val="{00000009-D498-4186-878C-62C650050A7C}"/>
              </c:ext>
            </c:extLst>
          </c:dPt>
          <c:dLbls>
            <c:dLbl>
              <c:idx val="0"/>
              <c:spPr>
                <a:solidFill>
                  <a:sysClr val="window" lastClr="FFFFFF"/>
                </a:solidFill>
                <a:ln>
                  <a:noFill/>
                </a:ln>
                <a:effectLst/>
              </c:spPr>
              <c:txPr>
                <a:bodyPr rot="0" spcFirstLastPara="1" vertOverflow="ellipsis" vert="horz" wrap="square" lIns="38100" tIns="19050" rIns="38100" bIns="19050" anchor="ctr" anchorCtr="1">
                  <a:spAutoFit/>
                </a:bodyPr>
                <a:lstStyle/>
                <a:p>
                  <a:pPr>
                    <a:defRPr sz="14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1-D498-4186-878C-62C650050A7C}"/>
                </c:ext>
              </c:extLst>
            </c:dLbl>
            <c:dLbl>
              <c:idx val="1"/>
              <c:layout>
                <c:manualLayout>
                  <c:x val="3.2612100886946334E-2"/>
                  <c:y val="-1.0720266875557116E-2"/>
                </c:manualLayout>
              </c:layout>
              <c:spPr>
                <a:solidFill>
                  <a:sysClr val="window" lastClr="FFFFFF"/>
                </a:solidFill>
                <a:ln>
                  <a:noFill/>
                </a:ln>
                <a:effectLst/>
              </c:spPr>
              <c:txPr>
                <a:bodyPr rot="0" spcFirstLastPara="1" vertOverflow="ellipsis" vert="horz" wrap="square" lIns="38100" tIns="19050" rIns="38100" bIns="19050" anchor="ctr" anchorCtr="1">
                  <a:spAutoFit/>
                </a:bodyPr>
                <a:lstStyle/>
                <a:p>
                  <a:pPr>
                    <a:defRPr sz="1400" b="1" i="0" u="none" strike="noStrike" kern="1200" spc="0" baseline="0">
                      <a:solidFill>
                        <a:schemeClr val="tx1"/>
                      </a:solidFill>
                      <a:latin typeface="+mn-lt"/>
                      <a:ea typeface="+mn-ea"/>
                      <a:cs typeface="+mn-cs"/>
                    </a:defRPr>
                  </a:pPr>
                  <a:endParaRPr lang="en-US"/>
                </a:p>
              </c:txPr>
              <c:dLblPos val="bestFi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3-D498-4186-878C-62C650050A7C}"/>
                </c:ext>
              </c:extLst>
            </c:dLbl>
            <c:dLbl>
              <c:idx val="2"/>
              <c:layout>
                <c:manualLayout>
                  <c:x val="-8.9834387415956424E-3"/>
                  <c:y val="1.6080189284460172E-2"/>
                </c:manualLayout>
              </c:layout>
              <c:spPr>
                <a:solidFill>
                  <a:sysClr val="window" lastClr="FFFFFF"/>
                </a:solidFill>
                <a:ln>
                  <a:noFill/>
                </a:ln>
                <a:effectLst/>
              </c:spPr>
              <c:txPr>
                <a:bodyPr rot="0" spcFirstLastPara="1" vertOverflow="ellipsis" vert="horz" wrap="square" lIns="38100" tIns="19050" rIns="38100" bIns="19050" anchor="ctr" anchorCtr="1">
                  <a:spAutoFit/>
                </a:bodyPr>
                <a:lstStyle/>
                <a:p>
                  <a:pPr>
                    <a:defRPr sz="1400" b="1" i="0" u="none" strike="noStrike" kern="1200" spc="0" baseline="0">
                      <a:solidFill>
                        <a:schemeClr val="tx1"/>
                      </a:solidFill>
                      <a:latin typeface="+mn-lt"/>
                      <a:ea typeface="+mn-ea"/>
                      <a:cs typeface="+mn-cs"/>
                    </a:defRPr>
                  </a:pPr>
                  <a:endParaRPr lang="en-US"/>
                </a:p>
              </c:txPr>
              <c:dLblPos val="bestFi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5-D498-4186-878C-62C650050A7C}"/>
                </c:ext>
              </c:extLst>
            </c:dLbl>
            <c:dLbl>
              <c:idx val="3"/>
              <c:spPr>
                <a:solidFill>
                  <a:sysClr val="window" lastClr="FFFFFF"/>
                </a:solidFill>
                <a:ln>
                  <a:noFill/>
                </a:ln>
                <a:effectLst/>
              </c:spPr>
              <c:txPr>
                <a:bodyPr rot="0" spcFirstLastPara="1" vertOverflow="ellipsis" vert="horz" wrap="square" lIns="38100" tIns="19050" rIns="38100" bIns="19050" anchor="ctr" anchorCtr="1">
                  <a:spAutoFit/>
                </a:bodyPr>
                <a:lstStyle/>
                <a:p>
                  <a:pPr>
                    <a:defRPr sz="14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7-D498-4186-878C-62C650050A7C}"/>
                </c:ext>
              </c:extLst>
            </c:dLbl>
            <c:dLbl>
              <c:idx val="4"/>
              <c:spPr>
                <a:solidFill>
                  <a:sysClr val="window" lastClr="FFFFFF"/>
                </a:solidFill>
                <a:ln>
                  <a:noFill/>
                </a:ln>
                <a:effectLst/>
              </c:spPr>
              <c:txPr>
                <a:bodyPr rot="0" spcFirstLastPara="1" vertOverflow="ellipsis" vert="horz" wrap="square" lIns="38100" tIns="19050" rIns="38100" bIns="19050" anchor="ctr" anchorCtr="1">
                  <a:spAutoFit/>
                </a:bodyPr>
                <a:lstStyle/>
                <a:p>
                  <a:pPr>
                    <a:defRPr sz="14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9-D498-4186-878C-62C650050A7C}"/>
                </c:ext>
              </c:extLst>
            </c:dLbl>
            <c:spPr>
              <a:solidFill>
                <a:sysClr val="window" lastClr="FFFFFF"/>
              </a:solidFill>
            </c:spPr>
            <c:txPr>
              <a:bodyPr rot="0" spcFirstLastPara="1" vertOverflow="ellipsis" vert="horz" wrap="square" lIns="38100" tIns="19050" rIns="38100" bIns="19050" anchor="ctr" anchorCtr="1">
                <a:spAutoFit/>
              </a:bodyPr>
              <a:lstStyle/>
              <a:p>
                <a:pPr>
                  <a:defRPr sz="1400" b="1" i="0" u="none" strike="noStrike" kern="1200" spc="0" baseline="0">
                    <a:solidFill>
                      <a:schemeClr val="tx1"/>
                    </a:solidFill>
                    <a:latin typeface="+mn-lt"/>
                    <a:ea typeface="+mn-ea"/>
                    <a:cs typeface="+mn-cs"/>
                  </a:defRPr>
                </a:pPr>
                <a:endParaRPr lang="en-US"/>
              </a:p>
            </c:txPr>
            <c:showLegendKey val="0"/>
            <c:showVal val="0"/>
            <c:showCatName val="0"/>
            <c:showSerName val="0"/>
            <c:showPercent val="1"/>
            <c:showBubbleSize val="0"/>
            <c:separator>
</c:separator>
            <c:showLeaderLines val="0"/>
            <c:extLst>
              <c:ext xmlns:c15="http://schemas.microsoft.com/office/drawing/2012/chart" uri="{CE6537A1-D6FC-4f65-9D91-7224C49458BB}"/>
            </c:extLst>
          </c:dLbls>
          <c:cat>
            <c:strRef>
              <c:f>'Statistics October'!$B$14:$B$19</c:f>
              <c:strCache>
                <c:ptCount val="5"/>
                <c:pt idx="0">
                  <c:v>A</c:v>
                </c:pt>
                <c:pt idx="1">
                  <c:v>B</c:v>
                </c:pt>
                <c:pt idx="2">
                  <c:v>C</c:v>
                </c:pt>
                <c:pt idx="3">
                  <c:v>D</c:v>
                </c:pt>
                <c:pt idx="4">
                  <c:v>E</c:v>
                </c:pt>
              </c:strCache>
            </c:strRef>
          </c:cat>
          <c:val>
            <c:numRef>
              <c:f>'Statistics October'!$C$14:$C$19</c:f>
              <c:numCache>
                <c:formatCode>General</c:formatCode>
                <c:ptCount val="5"/>
                <c:pt idx="0">
                  <c:v>119</c:v>
                </c:pt>
                <c:pt idx="1">
                  <c:v>54</c:v>
                </c:pt>
                <c:pt idx="2">
                  <c:v>74</c:v>
                </c:pt>
                <c:pt idx="3">
                  <c:v>49</c:v>
                </c:pt>
                <c:pt idx="4">
                  <c:v>45</c:v>
                </c:pt>
              </c:numCache>
            </c:numRef>
          </c:val>
          <c:extLst>
            <c:ext xmlns:c16="http://schemas.microsoft.com/office/drawing/2014/chart" uri="{C3380CC4-5D6E-409C-BE32-E72D297353CC}">
              <c16:uniqueId val="{0000000A-D498-4186-878C-62C650050A7C}"/>
            </c:ext>
          </c:extLst>
        </c:ser>
        <c:ser>
          <c:idx val="1"/>
          <c:order val="1"/>
          <c:tx>
            <c:strRef>
              <c:f>'Statistics October'!$D$13</c:f>
              <c:strCache>
                <c:ptCount val="1"/>
                <c:pt idx="0">
                  <c:v>% Authorities</c:v>
                </c:pt>
              </c:strCache>
            </c:strRef>
          </c:tx>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C-D498-4186-878C-62C650050A7C}"/>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E-D498-4186-878C-62C650050A7C}"/>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0-D498-4186-878C-62C650050A7C}"/>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2-D498-4186-878C-62C650050A7C}"/>
              </c:ext>
            </c:extLst>
          </c:dPt>
          <c:dPt>
            <c:idx val="4"/>
            <c:bubble3D val="0"/>
            <c:spPr>
              <a:solidFill>
                <a:schemeClr val="accent5"/>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4-D498-4186-878C-62C650050A7C}"/>
              </c:ext>
            </c:extLst>
          </c:dPt>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'Statistics October'!$B$14:$B$19</c:f>
              <c:strCache>
                <c:ptCount val="5"/>
                <c:pt idx="0">
                  <c:v>A</c:v>
                </c:pt>
                <c:pt idx="1">
                  <c:v>B</c:v>
                </c:pt>
                <c:pt idx="2">
                  <c:v>C</c:v>
                </c:pt>
                <c:pt idx="3">
                  <c:v>D</c:v>
                </c:pt>
                <c:pt idx="4">
                  <c:v>E</c:v>
                </c:pt>
              </c:strCache>
            </c:strRef>
          </c:cat>
          <c:val>
            <c:numRef>
              <c:f>'Statistics October'!$D$14:$D$19</c:f>
              <c:numCache>
                <c:formatCode>0%</c:formatCode>
                <c:ptCount val="5"/>
                <c:pt idx="0">
                  <c:v>0.34897360703812319</c:v>
                </c:pt>
                <c:pt idx="1">
                  <c:v>0.15835777126099707</c:v>
                </c:pt>
                <c:pt idx="2">
                  <c:v>0.21700879765395895</c:v>
                </c:pt>
                <c:pt idx="3">
                  <c:v>0.14369501466275661</c:v>
                </c:pt>
                <c:pt idx="4">
                  <c:v>0.13196480938416422</c:v>
                </c:pt>
              </c:numCache>
            </c:numRef>
          </c:val>
          <c:extLst>
            <c:ext xmlns:c16="http://schemas.microsoft.com/office/drawing/2014/chart" uri="{C3380CC4-5D6E-409C-BE32-E72D297353CC}">
              <c16:uniqueId val="{00000015-D498-4186-878C-62C650050A7C}"/>
            </c:ext>
          </c:extLst>
        </c:ser>
        <c:dLbls>
          <c:dLblPos val="outEnd"/>
          <c:showLegendKey val="0"/>
          <c:showVal val="0"/>
          <c:showCatName val="0"/>
          <c:showSerName val="0"/>
          <c:showPercent val="1"/>
          <c:showBubbleSize val="0"/>
          <c:showLeaderLines val="0"/>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a:outerShdw blurRad="50800" dist="127000" dir="2700000" algn="tl" rotWithShape="0">
        <a:prstClr val="black">
          <a:alpha val="40000"/>
        </a:prstClr>
      </a:outerShdw>
    </a:effectLst>
    <a:scene3d>
      <a:camera prst="orthographicFront"/>
      <a:lightRig rig="threePt" dir="t"/>
    </a:scene3d>
    <a:sp3d>
      <a:bevelT/>
    </a:sp3d>
  </c:spPr>
  <c:txPr>
    <a:bodyPr/>
    <a:lstStyle/>
    <a:p>
      <a:pPr>
        <a:defRPr/>
      </a:pPr>
      <a:endParaRPr lang="en-US"/>
    </a:p>
  </c:txPr>
  <c:externalData r:id="rId2">
    <c:autoUpdate val="0"/>
  </c:externalData>
  <c:extLst>
    <c:ext xmlns:c14="http://schemas.microsoft.com/office/drawing/2007/8/2/chart" uri="{781A3756-C4B2-4CAC-9D66-4F8BD8637D16}">
      <c14:pivotOptions>
        <c14:dropZoneFilter val="1"/>
        <c14:dropZoneData val="1"/>
        <c14:dropZoneSeries val="1"/>
      </c14:pivotOptions>
    </c:ext>
    <c:ext xmlns:c16="http://schemas.microsoft.com/office/drawing/2014/chart" uri="{E28EC0CA-F0BB-4C9C-879D-F8772B89E7AC}">
      <c16:pivotOptions16>
        <c16:showExpandCollapseFieldButtons val="1"/>
      </c16:pivotOptions16>
    </c:ext>
  </c:extLst>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[Licensing authorities’ approach to the Equality Act 2010 provisions on taxi wheelchair discrimination.xlsx]Statistics October!GradeWalesOctober</c:name>
    <c:fmtId val="-1"/>
  </c:pivotSource>
  <c:chart>
    <c:title>
      <c:tx>
        <c:rich>
          <a:bodyPr rot="0" spcFirstLastPara="1" vertOverflow="ellipsis" vert="horz" wrap="square" anchor="ctr" anchorCtr="1"/>
          <a:lstStyle/>
          <a:p>
            <a:pPr algn="ctr" rtl="0">
              <a:defRPr lang="en-GB" sz="1200" b="1" i="0" u="none" strike="noStrike" kern="1200" cap="none" baseline="0">
                <a:solidFill>
                  <a:sysClr val="windowText" lastClr="000000">
                    <a:lumMod val="65000"/>
                    <a:lumOff val="35000"/>
                  </a:sysClr>
                </a:solidFill>
                <a:effectLst/>
                <a:latin typeface="+mn-lt"/>
                <a:ea typeface="+mn-ea"/>
                <a:cs typeface="+mn-cs"/>
              </a:defRPr>
            </a:pPr>
            <a:r>
              <a:rPr lang="en-GB" sz="1200" b="1" i="0" u="none" strike="noStrike" kern="1200" cap="none" baseline="0">
                <a:solidFill>
                  <a:sysClr val="windowText" lastClr="000000">
                    <a:lumMod val="65000"/>
                    <a:lumOff val="35000"/>
                  </a:sysClr>
                </a:solidFill>
                <a:effectLst/>
                <a:latin typeface="+mn-lt"/>
                <a:ea typeface="+mn-ea"/>
                <a:cs typeface="+mn-cs"/>
              </a:rPr>
              <a:t>Wales Authorities</a:t>
            </a:r>
          </a:p>
          <a:p>
            <a:pPr algn="ctr" rtl="0">
              <a:defRPr lang="en-GB" sz="1200" cap="none">
                <a:solidFill>
                  <a:sysClr val="windowText" lastClr="000000">
                    <a:lumMod val="65000"/>
                    <a:lumOff val="35000"/>
                  </a:sysClr>
                </a:solidFill>
                <a:effectLst/>
              </a:defRPr>
            </a:pPr>
            <a:r>
              <a:rPr lang="en-GB" sz="1200" b="1" i="0" u="none" strike="noStrike" kern="1200" cap="none" baseline="0">
                <a:solidFill>
                  <a:sysClr val="windowText" lastClr="000000">
                    <a:lumMod val="65000"/>
                    <a:lumOff val="35000"/>
                  </a:sysClr>
                </a:solidFill>
                <a:effectLst/>
                <a:latin typeface="+mn-lt"/>
                <a:ea typeface="+mn-ea"/>
                <a:cs typeface="+mn-cs"/>
              </a:rPr>
              <a:t>S167 Grade </a:t>
            </a:r>
          </a:p>
          <a:p>
            <a:pPr algn="ctr" rtl="0">
              <a:defRPr lang="en-GB" sz="1200" cap="none">
                <a:solidFill>
                  <a:sysClr val="windowText" lastClr="000000">
                    <a:lumMod val="65000"/>
                    <a:lumOff val="35000"/>
                  </a:sysClr>
                </a:solidFill>
                <a:effectLst/>
              </a:defRPr>
            </a:pPr>
            <a:r>
              <a:rPr lang="en-GB" sz="1200" b="1" i="0" u="none" strike="noStrike" kern="1200" cap="none" baseline="0">
                <a:solidFill>
                  <a:sysClr val="windowText" lastClr="000000">
                    <a:lumMod val="65000"/>
                    <a:lumOff val="35000"/>
                  </a:sysClr>
                </a:solidFill>
                <a:effectLst/>
                <a:latin typeface="+mn-lt"/>
                <a:ea typeface="+mn-ea"/>
                <a:cs typeface="+mn-cs"/>
              </a:rPr>
              <a:t>November  2017</a:t>
            </a:r>
          </a:p>
        </c:rich>
      </c:tx>
      <c:layout>
        <c:manualLayout>
          <c:xMode val="edge"/>
          <c:yMode val="edge"/>
          <c:x val="0.14931297325853438"/>
          <c:y val="3.2493907392363928E-2"/>
        </c:manualLayout>
      </c:layout>
      <c:overlay val="0"/>
      <c:spPr>
        <a:noFill/>
        <a:ln>
          <a:noFill/>
        </a:ln>
        <a:effectLst/>
      </c:spPr>
      <c:txPr>
        <a:bodyPr rot="0" spcFirstLastPara="1" vertOverflow="ellipsis" vert="horz" wrap="square" anchor="ctr" anchorCtr="1"/>
        <a:lstStyle/>
        <a:p>
          <a:pPr algn="ctr" rtl="0">
            <a:defRPr lang="en-GB" sz="1200" b="1" i="0" u="none" strike="noStrike" kern="1200" cap="none" baseline="0">
              <a:solidFill>
                <a:sysClr val="windowText" lastClr="000000">
                  <a:lumMod val="65000"/>
                  <a:lumOff val="35000"/>
                </a:sysClr>
              </a:solidFill>
              <a:effectLst/>
              <a:latin typeface="+mn-lt"/>
              <a:ea typeface="+mn-ea"/>
              <a:cs typeface="+mn-cs"/>
            </a:defRPr>
          </a:pPr>
          <a:endParaRPr lang="en-US"/>
        </a:p>
      </c:txPr>
    </c:title>
    <c:autoTitleDeleted val="0"/>
    <c:pivotFmts>
      <c:pivotFmt>
        <c:idx val="0"/>
        <c:spPr>
          <a:solidFill>
            <a:schemeClr val="accent1"/>
          </a:solidFill>
          <a:ln>
            <a:noFill/>
          </a:ln>
          <a:effectLst>
            <a:outerShdw blurRad="63500" sx="102000" sy="102000" algn="ctr" rotWithShape="0">
              <a:prstClr val="black">
                <a:alpha val="20000"/>
              </a:prstClr>
            </a:outerShdw>
          </a:effectLst>
        </c:spPr>
        <c:marker>
          <c:symbol val="circle"/>
          <c:size val="6"/>
        </c:marke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1"/>
        <c:spPr>
          <a:solidFill>
            <a:schemeClr val="accent1"/>
          </a:solidFill>
          <a:ln>
            <a:noFill/>
          </a:ln>
          <a:effectLst>
            <a:outerShdw blurRad="63500" sx="102000" sy="102000" algn="ctr" rotWithShape="0">
              <a:prstClr val="black">
                <a:alpha val="20000"/>
              </a:prstClr>
            </a:outerShdw>
          </a:effectLst>
        </c:spPr>
        <c:marker>
          <c:symbol val="circle"/>
          <c:size val="6"/>
        </c:marke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2"/>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15:xForSave val="1"/>
            </c:ext>
          </c:extLst>
        </c:dLbl>
      </c:pivotFmt>
      <c:pivotFmt>
        <c:idx val="3"/>
        <c:spPr>
          <a:solidFill>
            <a:schemeClr val="accent2"/>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15:xForSave val="1"/>
            </c:ext>
          </c:extLst>
        </c:dLbl>
      </c:pivotFmt>
      <c:pivotFmt>
        <c:idx val="4"/>
        <c:spPr>
          <a:solidFill>
            <a:schemeClr val="accent3"/>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15:xForSave val="1"/>
            </c:ext>
          </c:extLst>
        </c:dLbl>
      </c:pivotFmt>
      <c:pivotFmt>
        <c:idx val="5"/>
        <c:spPr>
          <a:solidFill>
            <a:schemeClr val="accent4"/>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15:xForSave val="1"/>
            </c:ext>
          </c:extLst>
        </c:dLbl>
      </c:pivotFmt>
      <c:pivotFmt>
        <c:idx val="6"/>
        <c:spPr>
          <a:solidFill>
            <a:schemeClr val="accent5"/>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15:xForSave val="1"/>
            </c:ext>
          </c:extLst>
        </c:dLbl>
      </c:pivotFmt>
      <c:pivotFmt>
        <c:idx val="7"/>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15:xForSave val="1"/>
            </c:ext>
          </c:extLst>
        </c:dLbl>
      </c:pivotFmt>
      <c:pivotFmt>
        <c:idx val="8"/>
        <c:spPr>
          <a:solidFill>
            <a:schemeClr val="accent2"/>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15:xForSave val="1"/>
            </c:ext>
          </c:extLst>
        </c:dLbl>
      </c:pivotFmt>
      <c:pivotFmt>
        <c:idx val="9"/>
        <c:spPr>
          <a:solidFill>
            <a:schemeClr val="accent3"/>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15:xForSave val="1"/>
            </c:ext>
          </c:extLst>
        </c:dLbl>
      </c:pivotFmt>
      <c:pivotFmt>
        <c:idx val="10"/>
        <c:spPr>
          <a:solidFill>
            <a:schemeClr val="accent4"/>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15:xForSave val="1"/>
            </c:ext>
          </c:extLst>
        </c:dLbl>
      </c:pivotFmt>
      <c:pivotFmt>
        <c:idx val="11"/>
        <c:spPr>
          <a:solidFill>
            <a:schemeClr val="accent5"/>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15:xForSave val="1"/>
            </c:ext>
          </c:extLst>
        </c:dLbl>
      </c:pivotFmt>
      <c:pivotFmt>
        <c:idx val="12"/>
        <c:spPr>
          <a:solidFill>
            <a:schemeClr val="accent1"/>
          </a:solidFill>
          <a:ln w="15875" cmpd="tri">
            <a:solidFill>
              <a:schemeClr val="tx1"/>
            </a:solidFill>
          </a:ln>
          <a:effectLst>
            <a:outerShdw blurRad="50800" dist="63500" dir="2700000" algn="tl" rotWithShape="0">
              <a:prstClr val="black">
                <a:alpha val="40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400" b="1" i="0" u="none" strike="noStrike" kern="1200" spc="0" baseline="0">
                  <a:solidFill>
                    <a:schemeClr val="accent1"/>
                  </a:solidFill>
                  <a:latin typeface="+mn-lt"/>
                  <a:ea typeface="+mn-ea"/>
                  <a:cs typeface="+mn-cs"/>
                </a:defRPr>
              </a:pPr>
              <a:endParaRPr lang="en-US"/>
            </a:p>
          </c:txPr>
          <c:showLegendKey val="0"/>
          <c:showVal val="0"/>
          <c:showCatName val="0"/>
          <c:showSerName val="0"/>
          <c:showPercent val="1"/>
          <c:showBubbleSize val="0"/>
          <c:separator>
</c:separator>
          <c:extLst>
            <c:ext xmlns:c15="http://schemas.microsoft.com/office/drawing/2012/chart" uri="{CE6537A1-D6FC-4f65-9D91-7224C49458BB}"/>
          </c:extLst>
        </c:dLbl>
      </c:pivotFmt>
      <c:pivotFmt>
        <c:idx val="13"/>
        <c:spPr>
          <a:solidFill>
            <a:srgbClr val="99BD66"/>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4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separator>
</c:separator>
          <c:extLst>
            <c:ext xmlns:c15="http://schemas.microsoft.com/office/drawing/2012/chart" uri="{CE6537A1-D6FC-4f65-9D91-7224C49458BB}"/>
          </c:extLst>
        </c:dLbl>
      </c:pivotFmt>
      <c:pivotFmt>
        <c:idx val="14"/>
        <c:spPr>
          <a:solidFill>
            <a:srgbClr val="C1FFC1"/>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4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separator>
</c:separator>
          <c:extLst>
            <c:ext xmlns:c15="http://schemas.microsoft.com/office/drawing/2012/chart" uri="{CE6537A1-D6FC-4f65-9D91-7224C49458BB}"/>
          </c:extLst>
        </c:dLbl>
      </c:pivotFmt>
      <c:pivotFmt>
        <c:idx val="15"/>
        <c:spPr>
          <a:solidFill>
            <a:srgbClr val="FFFF66"/>
          </a:solidFill>
          <a:ln w="15875" cmpd="tri">
            <a:solidFill>
              <a:schemeClr val="tx1"/>
            </a:solidFill>
          </a:ln>
          <a:effectLst>
            <a:outerShdw blurRad="50800" dist="63500" dir="2700000" algn="tl" rotWithShape="0">
              <a:prstClr val="black">
                <a:alpha val="40000"/>
              </a:prstClr>
            </a:outerShdw>
          </a:effectLst>
        </c:spPr>
        <c:dLbl>
          <c:idx val="0"/>
          <c:layout>
            <c:manualLayout>
              <c:x val="0.10482583349824562"/>
              <c:y val="-2.6666666666666666E-3"/>
            </c:manualLayout>
          </c:layout>
          <c:spPr>
            <a:noFill/>
            <a:ln>
              <a:noFill/>
            </a:ln>
            <a:effectLst/>
          </c:spPr>
          <c:txPr>
            <a:bodyPr rot="0" spcFirstLastPara="1" vertOverflow="ellipsis" vert="horz" wrap="square" lIns="38100" tIns="19050" rIns="38100" bIns="19050" anchor="ctr" anchorCtr="1">
              <a:spAutoFit/>
            </a:bodyPr>
            <a:lstStyle/>
            <a:p>
              <a:pPr>
                <a:defRPr sz="1400" b="1" i="0" u="none" strike="noStrike" kern="1200" spc="0" baseline="0">
                  <a:solidFill>
                    <a:schemeClr val="accent1"/>
                  </a:solidFill>
                  <a:latin typeface="+mn-lt"/>
                  <a:ea typeface="+mn-ea"/>
                  <a:cs typeface="+mn-cs"/>
                </a:defRPr>
              </a:pPr>
              <a:endParaRPr lang="en-US"/>
            </a:p>
          </c:txPr>
          <c:dLblPos val="bestFit"/>
          <c:showLegendKey val="0"/>
          <c:showVal val="0"/>
          <c:showCatName val="1"/>
          <c:showSerName val="0"/>
          <c:showPercent val="1"/>
          <c:showBubbleSize val="0"/>
          <c:separator>
</c:separator>
          <c:extLst>
            <c:ext xmlns:c15="http://schemas.microsoft.com/office/drawing/2012/chart" uri="{CE6537A1-D6FC-4f65-9D91-7224C49458BB}"/>
          </c:extLst>
        </c:dLbl>
      </c:pivotFmt>
      <c:pivotFmt>
        <c:idx val="16"/>
        <c:spPr>
          <a:solidFill>
            <a:srgbClr val="FFC267"/>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4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separator>
</c:separator>
          <c:extLst>
            <c:ext xmlns:c15="http://schemas.microsoft.com/office/drawing/2012/chart" uri="{CE6537A1-D6FC-4f65-9D91-7224C49458BB}"/>
          </c:extLst>
        </c:dLbl>
      </c:pivotFmt>
      <c:pivotFmt>
        <c:idx val="17"/>
        <c:spPr>
          <a:solidFill>
            <a:srgbClr val="FF7D67"/>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4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separator>
</c:separator>
          <c:extLst>
            <c:ext xmlns:c15="http://schemas.microsoft.com/office/drawing/2012/chart" uri="{CE6537A1-D6FC-4f65-9D91-7224C49458BB}"/>
          </c:extLst>
        </c:dLbl>
      </c:pivotFmt>
      <c:pivotFmt>
        <c:idx val="18"/>
        <c:spPr>
          <a:solidFill>
            <a:schemeClr val="accent1"/>
          </a:solidFill>
          <a:ln>
            <a:noFill/>
          </a:ln>
          <a:effectLst>
            <a:outerShdw blurRad="63500" sx="102000" sy="102000" algn="ctr" rotWithShape="0">
              <a:prstClr val="black">
                <a:alpha val="20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9"/>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20"/>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21"/>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22"/>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23"/>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24"/>
        <c:spPr>
          <a:solidFill>
            <a:schemeClr val="accent1"/>
          </a:solidFill>
          <a:ln w="15875" cmpd="tri">
            <a:solidFill>
              <a:schemeClr val="tx1"/>
            </a:solidFill>
          </a:ln>
          <a:effectLst>
            <a:outerShdw blurRad="50800" dist="63500" dir="2700000" algn="tl" rotWithShape="0">
              <a:prstClr val="black">
                <a:alpha val="40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25"/>
        <c:spPr>
          <a:solidFill>
            <a:srgbClr val="99BD66"/>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400" b="1" i="0" u="none" strike="noStrike" kern="1200" spc="0" baseline="0">
                  <a:solidFill>
                    <a:schemeClr val="tx1"/>
                  </a:solidFill>
                  <a:latin typeface="+mn-lt"/>
                  <a:ea typeface="+mn-ea"/>
                  <a:cs typeface="+mn-cs"/>
                </a:defRPr>
              </a:pPr>
              <a:endParaRPr lang="en-US"/>
            </a:p>
          </c:txPr>
          <c:dLblPos val="outEnd"/>
          <c:showLegendKey val="0"/>
          <c:showVal val="0"/>
          <c:showCatName val="0"/>
          <c:showSerName val="0"/>
          <c:showPercent val="1"/>
          <c:showBubbleSize val="0"/>
          <c:extLst>
            <c:ext xmlns:c15="http://schemas.microsoft.com/office/drawing/2012/chart" uri="{CE6537A1-D6FC-4f65-9D91-7224C49458BB}"/>
          </c:extLst>
        </c:dLbl>
      </c:pivotFmt>
      <c:pivotFmt>
        <c:idx val="26"/>
        <c:spPr>
          <a:solidFill>
            <a:srgbClr val="C1FFC1"/>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400" b="1" i="0" u="none" strike="noStrike" kern="1200" spc="0" baseline="0">
                  <a:solidFill>
                    <a:schemeClr val="tx1"/>
                  </a:solidFill>
                  <a:latin typeface="+mn-lt"/>
                  <a:ea typeface="+mn-ea"/>
                  <a:cs typeface="+mn-cs"/>
                </a:defRPr>
              </a:pPr>
              <a:endParaRPr lang="en-US"/>
            </a:p>
          </c:txPr>
          <c:dLblPos val="outEnd"/>
          <c:showLegendKey val="0"/>
          <c:showVal val="0"/>
          <c:showCatName val="0"/>
          <c:showSerName val="0"/>
          <c:showPercent val="1"/>
          <c:showBubbleSize val="0"/>
          <c:extLst>
            <c:ext xmlns:c15="http://schemas.microsoft.com/office/drawing/2012/chart" uri="{CE6537A1-D6FC-4f65-9D91-7224C49458BB}"/>
          </c:extLst>
        </c:dLbl>
      </c:pivotFmt>
      <c:pivotFmt>
        <c:idx val="27"/>
        <c:spPr>
          <a:solidFill>
            <a:srgbClr val="FFFF66"/>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400" b="1" i="0" u="none" strike="noStrike" kern="1200" spc="0" baseline="0">
                  <a:solidFill>
                    <a:schemeClr val="tx1"/>
                  </a:solidFill>
                  <a:latin typeface="+mn-lt"/>
                  <a:ea typeface="+mn-ea"/>
                  <a:cs typeface="+mn-cs"/>
                </a:defRPr>
              </a:pPr>
              <a:endParaRPr lang="en-US"/>
            </a:p>
          </c:txPr>
          <c:dLblPos val="outEnd"/>
          <c:showLegendKey val="0"/>
          <c:showVal val="0"/>
          <c:showCatName val="0"/>
          <c:showSerName val="0"/>
          <c:showPercent val="1"/>
          <c:showBubbleSize val="0"/>
          <c:extLst>
            <c:ext xmlns:c15="http://schemas.microsoft.com/office/drawing/2012/chart" uri="{CE6537A1-D6FC-4f65-9D91-7224C49458BB}"/>
          </c:extLst>
        </c:dLbl>
      </c:pivotFmt>
      <c:pivotFmt>
        <c:idx val="28"/>
        <c:spPr>
          <a:solidFill>
            <a:srgbClr val="FFC267"/>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400" b="1" i="0" u="none" strike="noStrike" kern="1200" spc="0" baseline="0">
                  <a:solidFill>
                    <a:schemeClr val="tx1"/>
                  </a:solidFill>
                  <a:latin typeface="+mn-lt"/>
                  <a:ea typeface="+mn-ea"/>
                  <a:cs typeface="+mn-cs"/>
                </a:defRPr>
              </a:pPr>
              <a:endParaRPr lang="en-US"/>
            </a:p>
          </c:txPr>
          <c:dLblPos val="outEnd"/>
          <c:showLegendKey val="0"/>
          <c:showVal val="0"/>
          <c:showCatName val="0"/>
          <c:showSerName val="0"/>
          <c:showPercent val="1"/>
          <c:showBubbleSize val="0"/>
          <c:extLst>
            <c:ext xmlns:c15="http://schemas.microsoft.com/office/drawing/2012/chart" uri="{CE6537A1-D6FC-4f65-9D91-7224C49458BB}"/>
          </c:extLst>
        </c:dLbl>
      </c:pivotFmt>
      <c:pivotFmt>
        <c:idx val="29"/>
        <c:spPr>
          <a:solidFill>
            <a:srgbClr val="FF7D67"/>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400" b="1" i="0" u="none" strike="noStrike" kern="1200" spc="0" baseline="0">
                  <a:solidFill>
                    <a:schemeClr val="tx1"/>
                  </a:solidFill>
                  <a:latin typeface="+mn-lt"/>
                  <a:ea typeface="+mn-ea"/>
                  <a:cs typeface="+mn-cs"/>
                </a:defRPr>
              </a:pPr>
              <a:endParaRPr lang="en-US"/>
            </a:p>
          </c:txPr>
          <c:dLblPos val="outEnd"/>
          <c:showLegendKey val="0"/>
          <c:showVal val="0"/>
          <c:showCatName val="0"/>
          <c:showSerName val="0"/>
          <c:showPercent val="1"/>
          <c:showBubbleSize val="0"/>
          <c:extLst>
            <c:ext xmlns:c15="http://schemas.microsoft.com/office/drawing/2012/chart" uri="{CE6537A1-D6FC-4f65-9D91-7224C49458BB}"/>
          </c:extLst>
        </c:dLbl>
      </c:pivotFmt>
      <c:pivotFmt>
        <c:idx val="30"/>
        <c:spPr>
          <a:solidFill>
            <a:schemeClr val="accent1"/>
          </a:solidFill>
          <a:ln>
            <a:noFill/>
          </a:ln>
          <a:effectLst>
            <a:outerShdw blurRad="63500" sx="102000" sy="102000" algn="ctr" rotWithShape="0">
              <a:prstClr val="black">
                <a:alpha val="20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1"/>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2"/>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3"/>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4"/>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5"/>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6"/>
        <c:spPr>
          <a:solidFill>
            <a:srgbClr val="99BD66"/>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37"/>
        <c:spPr>
          <a:solidFill>
            <a:srgbClr val="C1FFC1"/>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38"/>
        <c:spPr>
          <a:solidFill>
            <a:srgbClr val="FFFF66"/>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39"/>
        <c:spPr>
          <a:solidFill>
            <a:srgbClr val="FFC267"/>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40"/>
        <c:spPr>
          <a:solidFill>
            <a:srgbClr val="FF7D67"/>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41"/>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42"/>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43"/>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44"/>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45"/>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46"/>
        <c:spPr>
          <a:solidFill>
            <a:schemeClr val="accent1"/>
          </a:solidFill>
          <a:ln w="15875" cmpd="tri">
            <a:solidFill>
              <a:schemeClr val="tx1"/>
            </a:solidFill>
          </a:ln>
          <a:effectLst>
            <a:outerShdw blurRad="50800" dist="63500" dir="2700000" algn="tl" rotWithShape="0">
              <a:prstClr val="black">
                <a:alpha val="40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47"/>
        <c:spPr>
          <a:solidFill>
            <a:srgbClr val="99BD66"/>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48"/>
        <c:spPr>
          <a:solidFill>
            <a:srgbClr val="C1FFC1"/>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49"/>
        <c:spPr>
          <a:solidFill>
            <a:srgbClr val="FFFF66"/>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50"/>
        <c:spPr>
          <a:solidFill>
            <a:srgbClr val="FFC267"/>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51"/>
        <c:spPr>
          <a:solidFill>
            <a:srgbClr val="FF7D67"/>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52"/>
        <c:spPr>
          <a:solidFill>
            <a:schemeClr val="accent1"/>
          </a:solidFill>
          <a:ln>
            <a:noFill/>
          </a:ln>
          <a:effectLst>
            <a:outerShdw blurRad="63500" sx="102000" sy="102000" algn="ctr" rotWithShape="0">
              <a:prstClr val="black">
                <a:alpha val="20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53"/>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54"/>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55"/>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56"/>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57"/>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58"/>
        <c:spPr>
          <a:solidFill>
            <a:schemeClr val="accent1"/>
          </a:solidFill>
          <a:ln w="15875" cmpd="tri">
            <a:solidFill>
              <a:schemeClr val="tx1"/>
            </a:solidFill>
          </a:ln>
          <a:effectLst>
            <a:outerShdw blurRad="50800" dist="63500" dir="2700000" algn="tl" rotWithShape="0">
              <a:prstClr val="black">
                <a:alpha val="40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59"/>
        <c:spPr>
          <a:solidFill>
            <a:srgbClr val="99BD66"/>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60"/>
        <c:spPr>
          <a:solidFill>
            <a:srgbClr val="C1FFC1"/>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61"/>
        <c:spPr>
          <a:solidFill>
            <a:srgbClr val="FFFF66"/>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62"/>
        <c:spPr>
          <a:solidFill>
            <a:srgbClr val="FFC267"/>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63"/>
        <c:spPr>
          <a:solidFill>
            <a:srgbClr val="FF7D67"/>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64"/>
        <c:spPr>
          <a:solidFill>
            <a:schemeClr val="accent1"/>
          </a:solidFill>
          <a:ln>
            <a:noFill/>
          </a:ln>
          <a:effectLst>
            <a:outerShdw blurRad="63500" sx="102000" sy="102000" algn="ctr" rotWithShape="0">
              <a:prstClr val="black">
                <a:alpha val="20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65"/>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66"/>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67"/>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68"/>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69"/>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70"/>
        <c:spPr>
          <a:solidFill>
            <a:schemeClr val="accent1"/>
          </a:solidFill>
          <a:ln w="15875" cmpd="tri">
            <a:solidFill>
              <a:schemeClr val="tx1"/>
            </a:solidFill>
          </a:ln>
          <a:effectLst>
            <a:outerShdw blurRad="50800" dist="63500" dir="2700000" algn="tl" rotWithShape="0">
              <a:prstClr val="black">
                <a:alpha val="40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71"/>
        <c:spPr>
          <a:solidFill>
            <a:srgbClr val="99BD66"/>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72"/>
        <c:spPr>
          <a:solidFill>
            <a:srgbClr val="C1FFC1"/>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73"/>
        <c:spPr>
          <a:solidFill>
            <a:srgbClr val="FFFF66"/>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74"/>
        <c:spPr>
          <a:solidFill>
            <a:schemeClr val="accent1"/>
          </a:solidFill>
          <a:ln>
            <a:noFill/>
          </a:ln>
          <a:effectLst>
            <a:outerShdw blurRad="63500" sx="102000" sy="102000" algn="ctr" rotWithShape="0">
              <a:prstClr val="black">
                <a:alpha val="20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75"/>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76"/>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77"/>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78"/>
        <c:spPr>
          <a:solidFill>
            <a:schemeClr val="accent1"/>
          </a:solidFill>
          <a:ln w="15875" cmpd="tri">
            <a:solidFill>
              <a:schemeClr val="tx1"/>
            </a:solidFill>
          </a:ln>
          <a:effectLst>
            <a:outerShdw blurRad="50800" dist="63500" dir="2700000" algn="tl" rotWithShape="0">
              <a:prstClr val="black">
                <a:alpha val="40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79"/>
        <c:spPr>
          <a:solidFill>
            <a:srgbClr val="99BD66"/>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80"/>
        <c:spPr>
          <a:solidFill>
            <a:srgbClr val="C1FFC1"/>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81"/>
        <c:spPr>
          <a:solidFill>
            <a:srgbClr val="FFFF66"/>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82"/>
        <c:spPr>
          <a:solidFill>
            <a:schemeClr val="accent1"/>
          </a:solidFill>
          <a:ln>
            <a:noFill/>
          </a:ln>
          <a:effectLst>
            <a:outerShdw blurRad="63500" sx="102000" sy="102000" algn="ctr" rotWithShape="0">
              <a:prstClr val="black">
                <a:alpha val="20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83"/>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84"/>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85"/>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86"/>
        <c:spPr>
          <a:solidFill>
            <a:schemeClr val="accent1"/>
          </a:solidFill>
          <a:ln w="15875" cmpd="tri">
            <a:solidFill>
              <a:schemeClr val="tx1"/>
            </a:solidFill>
          </a:ln>
          <a:effectLst>
            <a:outerShdw blurRad="50800" dist="63500" dir="2700000" algn="tl" rotWithShape="0">
              <a:prstClr val="black">
                <a:alpha val="40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87"/>
        <c:spPr>
          <a:solidFill>
            <a:srgbClr val="99BD66"/>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88"/>
        <c:spPr>
          <a:solidFill>
            <a:srgbClr val="C1FFC1"/>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89"/>
        <c:spPr>
          <a:solidFill>
            <a:srgbClr val="FFFF66"/>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90"/>
        <c:spPr>
          <a:solidFill>
            <a:schemeClr val="accent1"/>
          </a:solidFill>
          <a:ln>
            <a:noFill/>
          </a:ln>
          <a:effectLst>
            <a:outerShdw blurRad="63500" sx="102000" sy="102000" algn="ctr" rotWithShape="0">
              <a:prstClr val="black">
                <a:alpha val="20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91"/>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92"/>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93"/>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94"/>
        <c:spPr>
          <a:solidFill>
            <a:schemeClr val="accent1"/>
          </a:solidFill>
          <a:ln w="15875" cmpd="tri">
            <a:solidFill>
              <a:schemeClr val="tx1"/>
            </a:solidFill>
          </a:ln>
          <a:effectLst>
            <a:outerShdw blurRad="50800" dist="63500" dir="2700000" algn="tl" rotWithShape="0">
              <a:prstClr val="black">
                <a:alpha val="40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95"/>
        <c:spPr>
          <a:solidFill>
            <a:srgbClr val="99BD66"/>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96"/>
        <c:spPr>
          <a:solidFill>
            <a:srgbClr val="C1FFC1"/>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97"/>
        <c:spPr>
          <a:solidFill>
            <a:srgbClr val="FFFF66"/>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98"/>
        <c:spPr>
          <a:solidFill>
            <a:schemeClr val="accent1"/>
          </a:solidFill>
          <a:ln>
            <a:noFill/>
          </a:ln>
          <a:effectLst>
            <a:outerShdw blurRad="63500" sx="102000" sy="102000" algn="ctr" rotWithShape="0">
              <a:prstClr val="black">
                <a:alpha val="20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99"/>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00"/>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01"/>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s>
    <c:plotArea>
      <c:layout>
        <c:manualLayout>
          <c:layoutTarget val="inner"/>
          <c:xMode val="edge"/>
          <c:yMode val="edge"/>
          <c:x val="0.20277928325280459"/>
          <c:y val="0.24016787701593889"/>
          <c:w val="0.60553684106911276"/>
          <c:h val="0.66250691415739049"/>
        </c:manualLayout>
      </c:layout>
      <c:pieChart>
        <c:varyColors val="1"/>
        <c:ser>
          <c:idx val="0"/>
          <c:order val="0"/>
          <c:tx>
            <c:strRef>
              <c:f>'Statistics October'!$C$69</c:f>
              <c:strCache>
                <c:ptCount val="1"/>
                <c:pt idx="0">
                  <c:v># Authorities</c:v>
                </c:pt>
              </c:strCache>
            </c:strRef>
          </c:tx>
          <c:spPr>
            <a:ln w="15875" cmpd="tri">
              <a:solidFill>
                <a:schemeClr val="tx1"/>
              </a:solidFill>
            </a:ln>
            <a:effectLst>
              <a:outerShdw blurRad="50800" dist="63500" dir="2700000" algn="tl" rotWithShape="0">
                <a:prstClr val="black">
                  <a:alpha val="40000"/>
                </a:prstClr>
              </a:outerShdw>
            </a:effectLst>
          </c:spPr>
          <c:explosion val="7"/>
          <c:dPt>
            <c:idx val="0"/>
            <c:bubble3D val="0"/>
            <c:explosion val="8"/>
            <c:spPr>
              <a:solidFill>
                <a:srgbClr val="99BD66"/>
              </a:solidFill>
              <a:ln w="15875" cmpd="tri">
                <a:solidFill>
                  <a:schemeClr val="tx1"/>
                </a:solidFill>
              </a:ln>
              <a:effectLst>
                <a:outerShdw blurRad="50800" dist="63500" dir="2700000" algn="tl" rotWithShape="0">
                  <a:prstClr val="black">
                    <a:alpha val="40000"/>
                  </a:prstClr>
                </a:outerShdw>
              </a:effectLst>
            </c:spPr>
            <c:extLst>
              <c:ext xmlns:c16="http://schemas.microsoft.com/office/drawing/2014/chart" uri="{C3380CC4-5D6E-409C-BE32-E72D297353CC}">
                <c16:uniqueId val="{00000001-2A78-4559-9B79-7F0C3074B6EE}"/>
              </c:ext>
            </c:extLst>
          </c:dPt>
          <c:dPt>
            <c:idx val="1"/>
            <c:bubble3D val="0"/>
            <c:spPr>
              <a:solidFill>
                <a:srgbClr val="C1FFC1"/>
              </a:solidFill>
              <a:ln w="15875" cmpd="tri">
                <a:solidFill>
                  <a:schemeClr val="tx1"/>
                </a:solidFill>
              </a:ln>
              <a:effectLst>
                <a:outerShdw blurRad="50800" dist="63500" dir="2700000" algn="tl" rotWithShape="0">
                  <a:prstClr val="black">
                    <a:alpha val="40000"/>
                  </a:prstClr>
                </a:outerShdw>
              </a:effectLst>
            </c:spPr>
            <c:extLst>
              <c:ext xmlns:c16="http://schemas.microsoft.com/office/drawing/2014/chart" uri="{C3380CC4-5D6E-409C-BE32-E72D297353CC}">
                <c16:uniqueId val="{00000003-2A78-4559-9B79-7F0C3074B6EE}"/>
              </c:ext>
            </c:extLst>
          </c:dPt>
          <c:dPt>
            <c:idx val="2"/>
            <c:bubble3D val="0"/>
            <c:spPr>
              <a:solidFill>
                <a:srgbClr val="FFFF66"/>
              </a:solidFill>
              <a:ln w="15875" cmpd="tri">
                <a:solidFill>
                  <a:schemeClr val="tx1"/>
                </a:solidFill>
              </a:ln>
              <a:effectLst>
                <a:outerShdw blurRad="50800" dist="63500" dir="2700000" algn="tl" rotWithShape="0">
                  <a:prstClr val="black">
                    <a:alpha val="40000"/>
                  </a:prstClr>
                </a:outerShdw>
              </a:effectLst>
            </c:spPr>
            <c:extLst>
              <c:ext xmlns:c16="http://schemas.microsoft.com/office/drawing/2014/chart" uri="{C3380CC4-5D6E-409C-BE32-E72D297353CC}">
                <c16:uniqueId val="{00000005-2A78-4559-9B79-7F0C3074B6EE}"/>
              </c:ext>
            </c:extLst>
          </c:dPt>
          <c:dPt>
            <c:idx val="3"/>
            <c:bubble3D val="0"/>
            <c:spPr>
              <a:solidFill>
                <a:schemeClr val="accent4"/>
              </a:solidFill>
              <a:ln w="15875" cmpd="tri">
                <a:solidFill>
                  <a:schemeClr val="tx1"/>
                </a:solidFill>
              </a:ln>
              <a:effectLst>
                <a:outerShdw blurRad="50800" dist="63500" dir="2700000" algn="tl" rotWithShape="0">
                  <a:prstClr val="black">
                    <a:alpha val="40000"/>
                  </a:prstClr>
                </a:outerShdw>
              </a:effectLst>
            </c:spPr>
            <c:extLst>
              <c:ext xmlns:c16="http://schemas.microsoft.com/office/drawing/2014/chart" uri="{C3380CC4-5D6E-409C-BE32-E72D297353CC}">
                <c16:uniqueId val="{00000007-2A78-4559-9B79-7F0C3074B6EE}"/>
              </c:ext>
            </c:extLst>
          </c:dPt>
          <c:dPt>
            <c:idx val="4"/>
            <c:bubble3D val="0"/>
            <c:spPr>
              <a:solidFill>
                <a:schemeClr val="accent5"/>
              </a:solidFill>
              <a:ln w="15875" cmpd="tri">
                <a:solidFill>
                  <a:schemeClr val="tx1"/>
                </a:solidFill>
              </a:ln>
              <a:effectLst>
                <a:outerShdw blurRad="50800" dist="63500" dir="2700000" algn="tl" rotWithShape="0">
                  <a:prstClr val="black">
                    <a:alpha val="40000"/>
                  </a:prstClr>
                </a:outerShdw>
              </a:effectLst>
            </c:spPr>
            <c:extLst>
              <c:ext xmlns:c16="http://schemas.microsoft.com/office/drawing/2014/chart" uri="{C3380CC4-5D6E-409C-BE32-E72D297353CC}">
                <c16:uniqueId val="{00000009-2A78-4559-9B79-7F0C3074B6EE}"/>
              </c:ext>
            </c:extLst>
          </c:dPt>
          <c:dLbls>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1-2A78-4559-9B79-7F0C3074B6EE}"/>
                </c:ext>
              </c:extLst>
            </c:dLbl>
            <c:dLbl>
              <c:idx val="1"/>
              <c:layout>
                <c:manualLayout>
                  <c:x val="-3.9603960396039618E-2"/>
                  <c:y val="-8.1234768480909825E-2"/>
                </c:manualLayout>
              </c:layout>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2A78-4559-9B79-7F0C3074B6EE}"/>
                </c:ext>
              </c:extLst>
            </c:dLbl>
            <c:dLbl>
              <c:idx val="2"/>
              <c:layout>
                <c:manualLayout>
                  <c:x val="-6.6006600660066007E-3"/>
                  <c:y val="3.2493907392363928E-2"/>
                </c:manualLayout>
              </c:layout>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2A78-4559-9B79-7F0C3074B6EE}"/>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showLeaderLines val="0"/>
            <c:extLst>
              <c:ext xmlns:c15="http://schemas.microsoft.com/office/drawing/2012/chart" uri="{CE6537A1-D6FC-4f65-9D91-7224C49458BB}"/>
            </c:extLst>
          </c:dLbls>
          <c:cat>
            <c:strRef>
              <c:f>'Statistics October'!$B$70:$B$73</c:f>
              <c:strCache>
                <c:ptCount val="3"/>
                <c:pt idx="0">
                  <c:v>A</c:v>
                </c:pt>
                <c:pt idx="1">
                  <c:v>B</c:v>
                </c:pt>
                <c:pt idx="2">
                  <c:v>C</c:v>
                </c:pt>
              </c:strCache>
            </c:strRef>
          </c:cat>
          <c:val>
            <c:numRef>
              <c:f>'Statistics October'!$C$70:$C$73</c:f>
              <c:numCache>
                <c:formatCode>0</c:formatCode>
                <c:ptCount val="3"/>
                <c:pt idx="0">
                  <c:v>11</c:v>
                </c:pt>
                <c:pt idx="1">
                  <c:v>5</c:v>
                </c:pt>
                <c:pt idx="2">
                  <c:v>6</c:v>
                </c:pt>
              </c:numCache>
            </c:numRef>
          </c:val>
          <c:extLst>
            <c:ext xmlns:c16="http://schemas.microsoft.com/office/drawing/2014/chart" uri="{C3380CC4-5D6E-409C-BE32-E72D297353CC}">
              <c16:uniqueId val="{0000000A-2A78-4559-9B79-7F0C3074B6EE}"/>
            </c:ext>
          </c:extLst>
        </c:ser>
        <c:ser>
          <c:idx val="1"/>
          <c:order val="1"/>
          <c:tx>
            <c:strRef>
              <c:f>'Statistics October'!$D$69</c:f>
              <c:strCache>
                <c:ptCount val="1"/>
                <c:pt idx="0">
                  <c:v>% Authorities</c:v>
                </c:pt>
              </c:strCache>
            </c:strRef>
          </c:tx>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C-2A78-4559-9B79-7F0C3074B6EE}"/>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E-2A78-4559-9B79-7F0C3074B6EE}"/>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0-2A78-4559-9B79-7F0C3074B6EE}"/>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2-2A78-4559-9B79-7F0C3074B6EE}"/>
              </c:ext>
            </c:extLst>
          </c:dPt>
          <c:dPt>
            <c:idx val="4"/>
            <c:bubble3D val="0"/>
            <c:spPr>
              <a:solidFill>
                <a:schemeClr val="accent5"/>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4-2A78-4559-9B79-7F0C3074B6EE}"/>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0C-2A78-4559-9B79-7F0C3074B6EE}"/>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0E-2A78-4559-9B79-7F0C3074B6EE}"/>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10-2A78-4559-9B79-7F0C3074B6EE}"/>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'Statistics October'!$B$70:$B$73</c:f>
              <c:strCache>
                <c:ptCount val="3"/>
                <c:pt idx="0">
                  <c:v>A</c:v>
                </c:pt>
                <c:pt idx="1">
                  <c:v>B</c:v>
                </c:pt>
                <c:pt idx="2">
                  <c:v>C</c:v>
                </c:pt>
              </c:strCache>
            </c:strRef>
          </c:cat>
          <c:val>
            <c:numRef>
              <c:f>'Statistics October'!$D$70:$D$73</c:f>
              <c:numCache>
                <c:formatCode>0%</c:formatCode>
                <c:ptCount val="3"/>
                <c:pt idx="0">
                  <c:v>0.5</c:v>
                </c:pt>
                <c:pt idx="1">
                  <c:v>0.22727272727272727</c:v>
                </c:pt>
                <c:pt idx="2">
                  <c:v>0.27272727272727271</c:v>
                </c:pt>
              </c:numCache>
            </c:numRef>
          </c:val>
          <c:extLst>
            <c:ext xmlns:c16="http://schemas.microsoft.com/office/drawing/2014/chart" uri="{C3380CC4-5D6E-409C-BE32-E72D297353CC}">
              <c16:uniqueId val="{00000015-2A78-4559-9B79-7F0C3074B6EE}"/>
            </c:ext>
          </c:extLst>
        </c:ser>
        <c:dLbls>
          <c:dLblPos val="outEnd"/>
          <c:showLegendKey val="0"/>
          <c:showVal val="1"/>
          <c:showCatName val="0"/>
          <c:showSerName val="0"/>
          <c:showPercent val="0"/>
          <c:showBubbleSize val="0"/>
          <c:showLeaderLines val="0"/>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a:outerShdw blurRad="50800" dist="127000" dir="2700000" algn="tl" rotWithShape="0">
        <a:prstClr val="black">
          <a:alpha val="40000"/>
        </a:prstClr>
      </a:outerShdw>
    </a:effectLst>
    <a:scene3d>
      <a:camera prst="orthographicFront"/>
      <a:lightRig rig="threePt" dir="t"/>
    </a:scene3d>
    <a:sp3d>
      <a:bevelT/>
    </a:sp3d>
  </c:spPr>
  <c:txPr>
    <a:bodyPr/>
    <a:lstStyle/>
    <a:p>
      <a:pPr>
        <a:defRPr/>
      </a:pPr>
      <a:endParaRPr lang="en-US"/>
    </a:p>
  </c:txPr>
  <c:externalData r:id="rId4">
    <c:autoUpdate val="0"/>
  </c:externalData>
  <c:extLst>
    <c:ext xmlns:c14="http://schemas.microsoft.com/office/drawing/2007/8/2/chart" uri="{781A3756-C4B2-4CAC-9D66-4F8BD8637D16}">
      <c14:pivotOptions>
        <c14:dropZoneFilter val="1"/>
        <c14:dropZoneData val="1"/>
        <c14:dropZoneSeries val="1"/>
      </c14:pivotOptions>
    </c:ext>
    <c:ext xmlns:c16="http://schemas.microsoft.com/office/drawing/2014/chart" uri="{E28EC0CA-F0BB-4C9C-879D-F8772B89E7AC}">
      <c16:pivotOptions16>
        <c16:showExpandCollapseFieldButtons val="1"/>
      </c16:pivotOptions16>
    </c:ext>
  </c:extLst>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[Licensing authorities’ approach to the Equality Act 2010 provisions on taxi wheelchair discrimination.xlsx]Statistics October!GradeScotOct</c:name>
    <c:fmtId val="-1"/>
  </c:pivotSource>
  <c:chart>
    <c:title>
      <c:tx>
        <c:rich>
          <a:bodyPr rot="0" spcFirstLastPara="1" vertOverflow="ellipsis" vert="horz" wrap="square" anchor="ctr" anchorCtr="1"/>
          <a:lstStyle/>
          <a:p>
            <a:pPr algn="ctr" rtl="0">
              <a:defRPr lang="en-GB" sz="1200" b="1" i="0" u="none" strike="noStrike" kern="1200" cap="none" baseline="0">
                <a:solidFill>
                  <a:sysClr val="windowText" lastClr="000000">
                    <a:lumMod val="65000"/>
                    <a:lumOff val="35000"/>
                  </a:sysClr>
                </a:solidFill>
                <a:effectLst/>
                <a:latin typeface="+mn-lt"/>
                <a:ea typeface="+mn-ea"/>
                <a:cs typeface="+mn-cs"/>
              </a:defRPr>
            </a:pPr>
            <a:r>
              <a:rPr lang="en-GB" sz="1200" b="1" i="0" u="none" strike="noStrike" kern="1200" cap="none" baseline="0">
                <a:solidFill>
                  <a:sysClr val="windowText" lastClr="000000">
                    <a:lumMod val="65000"/>
                    <a:lumOff val="35000"/>
                  </a:sysClr>
                </a:solidFill>
                <a:effectLst/>
                <a:latin typeface="+mn-lt"/>
                <a:ea typeface="+mn-ea"/>
                <a:cs typeface="+mn-cs"/>
              </a:rPr>
              <a:t>Scotland Authorities</a:t>
            </a:r>
          </a:p>
          <a:p>
            <a:pPr algn="ctr" rtl="0">
              <a:defRPr lang="en-GB" sz="1200" cap="none">
                <a:solidFill>
                  <a:sysClr val="windowText" lastClr="000000">
                    <a:lumMod val="65000"/>
                    <a:lumOff val="35000"/>
                  </a:sysClr>
                </a:solidFill>
                <a:effectLst/>
              </a:defRPr>
            </a:pPr>
            <a:r>
              <a:rPr lang="en-GB" sz="1200" b="1" i="0" u="none" strike="noStrike" kern="1200" cap="none" baseline="0">
                <a:solidFill>
                  <a:sysClr val="windowText" lastClr="000000">
                    <a:lumMod val="65000"/>
                    <a:lumOff val="35000"/>
                  </a:sysClr>
                </a:solidFill>
                <a:effectLst/>
                <a:latin typeface="+mn-lt"/>
                <a:ea typeface="+mn-ea"/>
                <a:cs typeface="+mn-cs"/>
              </a:rPr>
              <a:t>S167 Grade November 2017</a:t>
            </a:r>
          </a:p>
        </c:rich>
      </c:tx>
      <c:layout>
        <c:manualLayout>
          <c:xMode val="edge"/>
          <c:yMode val="edge"/>
          <c:x val="0.12911788439876287"/>
          <c:y val="3.488830500113272E-2"/>
        </c:manualLayout>
      </c:layout>
      <c:overlay val="0"/>
      <c:spPr>
        <a:noFill/>
        <a:ln>
          <a:noFill/>
        </a:ln>
        <a:effectLst/>
      </c:spPr>
      <c:txPr>
        <a:bodyPr rot="0" spcFirstLastPara="1" vertOverflow="ellipsis" vert="horz" wrap="square" anchor="ctr" anchorCtr="1"/>
        <a:lstStyle/>
        <a:p>
          <a:pPr algn="ctr" rtl="0">
            <a:defRPr lang="en-GB" sz="1200" b="1" i="0" u="none" strike="noStrike" kern="1200" cap="none" baseline="0">
              <a:solidFill>
                <a:sysClr val="windowText" lastClr="000000">
                  <a:lumMod val="65000"/>
                  <a:lumOff val="35000"/>
                </a:sysClr>
              </a:solidFill>
              <a:effectLst/>
              <a:latin typeface="+mn-lt"/>
              <a:ea typeface="+mn-ea"/>
              <a:cs typeface="+mn-cs"/>
            </a:defRPr>
          </a:pPr>
          <a:endParaRPr lang="en-US"/>
        </a:p>
      </c:txPr>
    </c:title>
    <c:autoTitleDeleted val="0"/>
    <c:pivotFmts>
      <c:pivotFmt>
        <c:idx val="0"/>
        <c:spPr>
          <a:solidFill>
            <a:schemeClr val="accent1"/>
          </a:solidFill>
          <a:ln>
            <a:noFill/>
          </a:ln>
          <a:effectLst>
            <a:outerShdw blurRad="63500" sx="102000" sy="102000" algn="ctr" rotWithShape="0">
              <a:prstClr val="black">
                <a:alpha val="20000"/>
              </a:prstClr>
            </a:outerShdw>
          </a:effectLst>
        </c:spPr>
        <c:marker>
          <c:symbol val="circle"/>
          <c:size val="6"/>
        </c:marke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1"/>
        <c:spPr>
          <a:solidFill>
            <a:schemeClr val="accent1"/>
          </a:solidFill>
          <a:ln>
            <a:noFill/>
          </a:ln>
          <a:effectLst>
            <a:outerShdw blurRad="63500" sx="102000" sy="102000" algn="ctr" rotWithShape="0">
              <a:prstClr val="black">
                <a:alpha val="20000"/>
              </a:prstClr>
            </a:outerShdw>
          </a:effectLst>
        </c:spPr>
        <c:marker>
          <c:symbol val="circle"/>
          <c:size val="6"/>
        </c:marke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2"/>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15:xForSave val="1"/>
            </c:ext>
          </c:extLst>
        </c:dLbl>
      </c:pivotFmt>
      <c:pivotFmt>
        <c:idx val="3"/>
        <c:spPr>
          <a:solidFill>
            <a:schemeClr val="accent2"/>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15:xForSave val="1"/>
            </c:ext>
          </c:extLst>
        </c:dLbl>
      </c:pivotFmt>
      <c:pivotFmt>
        <c:idx val="4"/>
        <c:spPr>
          <a:solidFill>
            <a:schemeClr val="accent3"/>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15:xForSave val="1"/>
            </c:ext>
          </c:extLst>
        </c:dLbl>
      </c:pivotFmt>
      <c:pivotFmt>
        <c:idx val="5"/>
        <c:spPr>
          <a:solidFill>
            <a:schemeClr val="accent4"/>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15:xForSave val="1"/>
            </c:ext>
          </c:extLst>
        </c:dLbl>
      </c:pivotFmt>
      <c:pivotFmt>
        <c:idx val="6"/>
        <c:spPr>
          <a:solidFill>
            <a:schemeClr val="accent5"/>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15:xForSave val="1"/>
            </c:ext>
          </c:extLst>
        </c:dLbl>
      </c:pivotFmt>
      <c:pivotFmt>
        <c:idx val="7"/>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15:xForSave val="1"/>
            </c:ext>
          </c:extLst>
        </c:dLbl>
      </c:pivotFmt>
      <c:pivotFmt>
        <c:idx val="8"/>
        <c:spPr>
          <a:solidFill>
            <a:schemeClr val="accent2"/>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15:xForSave val="1"/>
            </c:ext>
          </c:extLst>
        </c:dLbl>
      </c:pivotFmt>
      <c:pivotFmt>
        <c:idx val="9"/>
        <c:spPr>
          <a:solidFill>
            <a:schemeClr val="accent3"/>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15:xForSave val="1"/>
            </c:ext>
          </c:extLst>
        </c:dLbl>
      </c:pivotFmt>
      <c:pivotFmt>
        <c:idx val="10"/>
        <c:spPr>
          <a:solidFill>
            <a:schemeClr val="accent4"/>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15:xForSave val="1"/>
            </c:ext>
          </c:extLst>
        </c:dLbl>
      </c:pivotFmt>
      <c:pivotFmt>
        <c:idx val="11"/>
        <c:spPr>
          <a:solidFill>
            <a:schemeClr val="accent5"/>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15:xForSave val="1"/>
            </c:ext>
          </c:extLst>
        </c:dLbl>
      </c:pivotFmt>
      <c:pivotFmt>
        <c:idx val="12"/>
        <c:spPr>
          <a:solidFill>
            <a:schemeClr val="accent1"/>
          </a:solidFill>
          <a:ln w="15875" cmpd="tri">
            <a:solidFill>
              <a:schemeClr val="tx1"/>
            </a:solidFill>
          </a:ln>
          <a:effectLst>
            <a:outerShdw blurRad="50800" dist="63500" dir="2700000" algn="tl" rotWithShape="0">
              <a:prstClr val="black">
                <a:alpha val="40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400" b="1" i="0" u="none" strike="noStrike" kern="1200" spc="0" baseline="0">
                  <a:solidFill>
                    <a:schemeClr val="accent1"/>
                  </a:solidFill>
                  <a:latin typeface="+mn-lt"/>
                  <a:ea typeface="+mn-ea"/>
                  <a:cs typeface="+mn-cs"/>
                </a:defRPr>
              </a:pPr>
              <a:endParaRPr lang="en-US"/>
            </a:p>
          </c:txPr>
          <c:showLegendKey val="0"/>
          <c:showVal val="0"/>
          <c:showCatName val="0"/>
          <c:showSerName val="0"/>
          <c:showPercent val="1"/>
          <c:showBubbleSize val="0"/>
          <c:separator>
</c:separator>
          <c:extLst>
            <c:ext xmlns:c15="http://schemas.microsoft.com/office/drawing/2012/chart" uri="{CE6537A1-D6FC-4f65-9D91-7224C49458BB}"/>
          </c:extLst>
        </c:dLbl>
      </c:pivotFmt>
      <c:pivotFmt>
        <c:idx val="13"/>
        <c:spPr>
          <a:solidFill>
            <a:srgbClr val="99BD66"/>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4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separator>
</c:separator>
          <c:extLst>
            <c:ext xmlns:c15="http://schemas.microsoft.com/office/drawing/2012/chart" uri="{CE6537A1-D6FC-4f65-9D91-7224C49458BB}"/>
          </c:extLst>
        </c:dLbl>
      </c:pivotFmt>
      <c:pivotFmt>
        <c:idx val="14"/>
        <c:spPr>
          <a:solidFill>
            <a:srgbClr val="C1FFC1"/>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4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separator>
</c:separator>
          <c:extLst>
            <c:ext xmlns:c15="http://schemas.microsoft.com/office/drawing/2012/chart" uri="{CE6537A1-D6FC-4f65-9D91-7224C49458BB}"/>
          </c:extLst>
        </c:dLbl>
      </c:pivotFmt>
      <c:pivotFmt>
        <c:idx val="15"/>
        <c:spPr>
          <a:solidFill>
            <a:srgbClr val="FFFF66"/>
          </a:solidFill>
          <a:ln w="15875" cmpd="tri">
            <a:solidFill>
              <a:schemeClr val="tx1"/>
            </a:solidFill>
          </a:ln>
          <a:effectLst>
            <a:outerShdw blurRad="50800" dist="63500" dir="2700000" algn="tl" rotWithShape="0">
              <a:prstClr val="black">
                <a:alpha val="40000"/>
              </a:prstClr>
            </a:outerShdw>
          </a:effectLst>
        </c:spPr>
        <c:dLbl>
          <c:idx val="0"/>
          <c:layout>
            <c:manualLayout>
              <c:x val="0.10482583349824562"/>
              <c:y val="-2.6666666666666666E-3"/>
            </c:manualLayout>
          </c:layout>
          <c:spPr>
            <a:noFill/>
            <a:ln>
              <a:noFill/>
            </a:ln>
            <a:effectLst/>
          </c:spPr>
          <c:txPr>
            <a:bodyPr rot="0" spcFirstLastPara="1" vertOverflow="ellipsis" vert="horz" wrap="square" lIns="38100" tIns="19050" rIns="38100" bIns="19050" anchor="ctr" anchorCtr="1">
              <a:spAutoFit/>
            </a:bodyPr>
            <a:lstStyle/>
            <a:p>
              <a:pPr>
                <a:defRPr sz="1400" b="1" i="0" u="none" strike="noStrike" kern="1200" spc="0" baseline="0">
                  <a:solidFill>
                    <a:schemeClr val="accent1"/>
                  </a:solidFill>
                  <a:latin typeface="+mn-lt"/>
                  <a:ea typeface="+mn-ea"/>
                  <a:cs typeface="+mn-cs"/>
                </a:defRPr>
              </a:pPr>
              <a:endParaRPr lang="en-US"/>
            </a:p>
          </c:txPr>
          <c:dLblPos val="bestFit"/>
          <c:showLegendKey val="0"/>
          <c:showVal val="0"/>
          <c:showCatName val="1"/>
          <c:showSerName val="0"/>
          <c:showPercent val="1"/>
          <c:showBubbleSize val="0"/>
          <c:separator>
</c:separator>
          <c:extLst>
            <c:ext xmlns:c15="http://schemas.microsoft.com/office/drawing/2012/chart" uri="{CE6537A1-D6FC-4f65-9D91-7224C49458BB}"/>
          </c:extLst>
        </c:dLbl>
      </c:pivotFmt>
      <c:pivotFmt>
        <c:idx val="16"/>
        <c:spPr>
          <a:solidFill>
            <a:srgbClr val="FFC267"/>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4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separator>
</c:separator>
          <c:extLst>
            <c:ext xmlns:c15="http://schemas.microsoft.com/office/drawing/2012/chart" uri="{CE6537A1-D6FC-4f65-9D91-7224C49458BB}"/>
          </c:extLst>
        </c:dLbl>
      </c:pivotFmt>
      <c:pivotFmt>
        <c:idx val="17"/>
        <c:spPr>
          <a:solidFill>
            <a:srgbClr val="FF7D67"/>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4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separator>
</c:separator>
          <c:extLst>
            <c:ext xmlns:c15="http://schemas.microsoft.com/office/drawing/2012/chart" uri="{CE6537A1-D6FC-4f65-9D91-7224C49458BB}"/>
          </c:extLst>
        </c:dLbl>
      </c:pivotFmt>
      <c:pivotFmt>
        <c:idx val="18"/>
        <c:spPr>
          <a:solidFill>
            <a:schemeClr val="accent1"/>
          </a:solidFill>
          <a:ln>
            <a:noFill/>
          </a:ln>
          <a:effectLst>
            <a:outerShdw blurRad="63500" sx="102000" sy="102000" algn="ctr" rotWithShape="0">
              <a:prstClr val="black">
                <a:alpha val="20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9"/>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20"/>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21"/>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22"/>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23"/>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24"/>
        <c:spPr>
          <a:solidFill>
            <a:schemeClr val="accent1"/>
          </a:solidFill>
          <a:ln w="15875" cmpd="tri">
            <a:solidFill>
              <a:schemeClr val="tx1"/>
            </a:solidFill>
          </a:ln>
          <a:effectLst>
            <a:outerShdw blurRad="50800" dist="63500" dir="2700000" algn="tl" rotWithShape="0">
              <a:prstClr val="black">
                <a:alpha val="40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25"/>
        <c:spPr>
          <a:solidFill>
            <a:srgbClr val="99BD66"/>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400" b="1" i="0" u="none" strike="noStrike" kern="1200" spc="0" baseline="0">
                  <a:solidFill>
                    <a:schemeClr val="tx1"/>
                  </a:solidFill>
                  <a:latin typeface="+mn-lt"/>
                  <a:ea typeface="+mn-ea"/>
                  <a:cs typeface="+mn-cs"/>
                </a:defRPr>
              </a:pPr>
              <a:endParaRPr lang="en-US"/>
            </a:p>
          </c:txPr>
          <c:dLblPos val="outEnd"/>
          <c:showLegendKey val="0"/>
          <c:showVal val="0"/>
          <c:showCatName val="0"/>
          <c:showSerName val="0"/>
          <c:showPercent val="1"/>
          <c:showBubbleSize val="0"/>
          <c:extLst>
            <c:ext xmlns:c15="http://schemas.microsoft.com/office/drawing/2012/chart" uri="{CE6537A1-D6FC-4f65-9D91-7224C49458BB}"/>
          </c:extLst>
        </c:dLbl>
      </c:pivotFmt>
      <c:pivotFmt>
        <c:idx val="26"/>
        <c:spPr>
          <a:solidFill>
            <a:srgbClr val="C1FFC1"/>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400" b="1" i="0" u="none" strike="noStrike" kern="1200" spc="0" baseline="0">
                  <a:solidFill>
                    <a:schemeClr val="tx1"/>
                  </a:solidFill>
                  <a:latin typeface="+mn-lt"/>
                  <a:ea typeface="+mn-ea"/>
                  <a:cs typeface="+mn-cs"/>
                </a:defRPr>
              </a:pPr>
              <a:endParaRPr lang="en-US"/>
            </a:p>
          </c:txPr>
          <c:dLblPos val="outEnd"/>
          <c:showLegendKey val="0"/>
          <c:showVal val="0"/>
          <c:showCatName val="0"/>
          <c:showSerName val="0"/>
          <c:showPercent val="1"/>
          <c:showBubbleSize val="0"/>
          <c:extLst>
            <c:ext xmlns:c15="http://schemas.microsoft.com/office/drawing/2012/chart" uri="{CE6537A1-D6FC-4f65-9D91-7224C49458BB}"/>
          </c:extLst>
        </c:dLbl>
      </c:pivotFmt>
      <c:pivotFmt>
        <c:idx val="27"/>
        <c:spPr>
          <a:solidFill>
            <a:srgbClr val="FFFF66"/>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400" b="1" i="0" u="none" strike="noStrike" kern="1200" spc="0" baseline="0">
                  <a:solidFill>
                    <a:schemeClr val="tx1"/>
                  </a:solidFill>
                  <a:latin typeface="+mn-lt"/>
                  <a:ea typeface="+mn-ea"/>
                  <a:cs typeface="+mn-cs"/>
                </a:defRPr>
              </a:pPr>
              <a:endParaRPr lang="en-US"/>
            </a:p>
          </c:txPr>
          <c:dLblPos val="outEnd"/>
          <c:showLegendKey val="0"/>
          <c:showVal val="0"/>
          <c:showCatName val="0"/>
          <c:showSerName val="0"/>
          <c:showPercent val="1"/>
          <c:showBubbleSize val="0"/>
          <c:extLst>
            <c:ext xmlns:c15="http://schemas.microsoft.com/office/drawing/2012/chart" uri="{CE6537A1-D6FC-4f65-9D91-7224C49458BB}"/>
          </c:extLst>
        </c:dLbl>
      </c:pivotFmt>
      <c:pivotFmt>
        <c:idx val="28"/>
        <c:spPr>
          <a:solidFill>
            <a:srgbClr val="FFC267"/>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400" b="1" i="0" u="none" strike="noStrike" kern="1200" spc="0" baseline="0">
                  <a:solidFill>
                    <a:schemeClr val="tx1"/>
                  </a:solidFill>
                  <a:latin typeface="+mn-lt"/>
                  <a:ea typeface="+mn-ea"/>
                  <a:cs typeface="+mn-cs"/>
                </a:defRPr>
              </a:pPr>
              <a:endParaRPr lang="en-US"/>
            </a:p>
          </c:txPr>
          <c:dLblPos val="outEnd"/>
          <c:showLegendKey val="0"/>
          <c:showVal val="0"/>
          <c:showCatName val="0"/>
          <c:showSerName val="0"/>
          <c:showPercent val="1"/>
          <c:showBubbleSize val="0"/>
          <c:extLst>
            <c:ext xmlns:c15="http://schemas.microsoft.com/office/drawing/2012/chart" uri="{CE6537A1-D6FC-4f65-9D91-7224C49458BB}"/>
          </c:extLst>
        </c:dLbl>
      </c:pivotFmt>
      <c:pivotFmt>
        <c:idx val="29"/>
        <c:spPr>
          <a:solidFill>
            <a:srgbClr val="FF7D67"/>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400" b="1" i="0" u="none" strike="noStrike" kern="1200" spc="0" baseline="0">
                  <a:solidFill>
                    <a:schemeClr val="tx1"/>
                  </a:solidFill>
                  <a:latin typeface="+mn-lt"/>
                  <a:ea typeface="+mn-ea"/>
                  <a:cs typeface="+mn-cs"/>
                </a:defRPr>
              </a:pPr>
              <a:endParaRPr lang="en-US"/>
            </a:p>
          </c:txPr>
          <c:dLblPos val="outEnd"/>
          <c:showLegendKey val="0"/>
          <c:showVal val="0"/>
          <c:showCatName val="0"/>
          <c:showSerName val="0"/>
          <c:showPercent val="1"/>
          <c:showBubbleSize val="0"/>
          <c:extLst>
            <c:ext xmlns:c15="http://schemas.microsoft.com/office/drawing/2012/chart" uri="{CE6537A1-D6FC-4f65-9D91-7224C49458BB}"/>
          </c:extLst>
        </c:dLbl>
      </c:pivotFmt>
      <c:pivotFmt>
        <c:idx val="30"/>
        <c:spPr>
          <a:solidFill>
            <a:schemeClr val="accent1"/>
          </a:solidFill>
          <a:ln>
            <a:noFill/>
          </a:ln>
          <a:effectLst>
            <a:outerShdw blurRad="63500" sx="102000" sy="102000" algn="ctr" rotWithShape="0">
              <a:prstClr val="black">
                <a:alpha val="20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1"/>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2"/>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3"/>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4"/>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5"/>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6"/>
        <c:spPr>
          <a:solidFill>
            <a:srgbClr val="99BD66"/>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37"/>
        <c:spPr>
          <a:solidFill>
            <a:srgbClr val="C1FFC1"/>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38"/>
        <c:spPr>
          <a:solidFill>
            <a:srgbClr val="FFFF66"/>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39"/>
        <c:spPr>
          <a:solidFill>
            <a:srgbClr val="FFC267"/>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40"/>
        <c:spPr>
          <a:solidFill>
            <a:srgbClr val="FF7D67"/>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41"/>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42"/>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43"/>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44"/>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45"/>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46"/>
        <c:spPr>
          <a:solidFill>
            <a:schemeClr val="accent1"/>
          </a:solidFill>
          <a:ln w="15875" cmpd="tri">
            <a:solidFill>
              <a:schemeClr val="tx1"/>
            </a:solidFill>
          </a:ln>
          <a:effectLst>
            <a:outerShdw blurRad="50800" dist="63500" dir="2700000" algn="tl" rotWithShape="0">
              <a:prstClr val="black">
                <a:alpha val="40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47"/>
        <c:spPr>
          <a:solidFill>
            <a:srgbClr val="99BD66"/>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48"/>
        <c:spPr>
          <a:solidFill>
            <a:srgbClr val="C1FFC1"/>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49"/>
        <c:spPr>
          <a:solidFill>
            <a:srgbClr val="FFFF66"/>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50"/>
        <c:spPr>
          <a:solidFill>
            <a:srgbClr val="FFC267"/>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51"/>
        <c:spPr>
          <a:solidFill>
            <a:srgbClr val="FF7D67"/>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52"/>
        <c:spPr>
          <a:solidFill>
            <a:schemeClr val="accent1"/>
          </a:solidFill>
          <a:ln>
            <a:noFill/>
          </a:ln>
          <a:effectLst>
            <a:outerShdw blurRad="63500" sx="102000" sy="102000" algn="ctr" rotWithShape="0">
              <a:prstClr val="black">
                <a:alpha val="20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53"/>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54"/>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55"/>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56"/>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57"/>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58"/>
        <c:spPr>
          <a:solidFill>
            <a:schemeClr val="accent1"/>
          </a:solidFill>
          <a:ln w="15875" cmpd="tri">
            <a:solidFill>
              <a:schemeClr val="tx1"/>
            </a:solidFill>
          </a:ln>
          <a:effectLst>
            <a:outerShdw blurRad="50800" dist="63500" dir="2700000" algn="tl" rotWithShape="0">
              <a:prstClr val="black">
                <a:alpha val="40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59"/>
        <c:spPr>
          <a:solidFill>
            <a:srgbClr val="99BD66"/>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60"/>
        <c:spPr>
          <a:solidFill>
            <a:srgbClr val="C1FFC1"/>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61"/>
        <c:spPr>
          <a:solidFill>
            <a:srgbClr val="FFFF66"/>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62"/>
        <c:spPr>
          <a:solidFill>
            <a:srgbClr val="FFC267"/>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63"/>
        <c:spPr>
          <a:solidFill>
            <a:srgbClr val="FF7D67"/>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64"/>
        <c:spPr>
          <a:solidFill>
            <a:schemeClr val="accent1"/>
          </a:solidFill>
          <a:ln>
            <a:noFill/>
          </a:ln>
          <a:effectLst>
            <a:outerShdw blurRad="63500" sx="102000" sy="102000" algn="ctr" rotWithShape="0">
              <a:prstClr val="black">
                <a:alpha val="20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65"/>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66"/>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67"/>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68"/>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69"/>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70"/>
        <c:spPr>
          <a:solidFill>
            <a:schemeClr val="accent1"/>
          </a:solidFill>
          <a:ln w="15875" cmpd="tri">
            <a:solidFill>
              <a:schemeClr val="tx1"/>
            </a:solidFill>
          </a:ln>
          <a:effectLst>
            <a:outerShdw blurRad="50800" dist="63500" dir="2700000" algn="tl" rotWithShape="0">
              <a:prstClr val="black">
                <a:alpha val="40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71"/>
        <c:spPr>
          <a:solidFill>
            <a:srgbClr val="99BD66"/>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72"/>
        <c:spPr>
          <a:solidFill>
            <a:srgbClr val="C1FFC1"/>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73"/>
        <c:spPr>
          <a:solidFill>
            <a:srgbClr val="FFFF66"/>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74"/>
        <c:spPr>
          <a:solidFill>
            <a:srgbClr val="FFC267"/>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75"/>
        <c:spPr>
          <a:solidFill>
            <a:srgbClr val="FF7D67"/>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76"/>
        <c:spPr>
          <a:solidFill>
            <a:schemeClr val="accent1"/>
          </a:solidFill>
          <a:ln>
            <a:noFill/>
          </a:ln>
          <a:effectLst>
            <a:outerShdw blurRad="63500" sx="102000" sy="102000" algn="ctr" rotWithShape="0">
              <a:prstClr val="black">
                <a:alpha val="20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77"/>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78"/>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79"/>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80"/>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81"/>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82"/>
        <c:spPr>
          <a:solidFill>
            <a:schemeClr val="accent1"/>
          </a:solidFill>
          <a:ln w="15875" cmpd="tri">
            <a:solidFill>
              <a:schemeClr val="tx1"/>
            </a:solidFill>
          </a:ln>
          <a:effectLst>
            <a:outerShdw blurRad="50800" dist="63500" dir="2700000" algn="tl" rotWithShape="0">
              <a:prstClr val="black">
                <a:alpha val="40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83"/>
        <c:spPr>
          <a:solidFill>
            <a:srgbClr val="99BD66"/>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84"/>
        <c:spPr>
          <a:solidFill>
            <a:srgbClr val="C1FFC1"/>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85"/>
        <c:spPr>
          <a:solidFill>
            <a:srgbClr val="FFFF66"/>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86"/>
        <c:spPr>
          <a:solidFill>
            <a:srgbClr val="FFC267"/>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87"/>
        <c:spPr>
          <a:solidFill>
            <a:srgbClr val="FF7D67"/>
          </a:solidFill>
          <a:ln w="15875" cmpd="tri">
            <a:solidFill>
              <a:schemeClr val="tx1"/>
            </a:solidFill>
          </a:ln>
          <a:effectLst>
            <a:outerShdw blurRad="50800" dist="63500" dir="2700000" algn="tl" rotWithShape="0">
              <a:prstClr val="black">
                <a:alpha val="40000"/>
              </a:prstClr>
            </a:outerShdw>
          </a:effectLst>
        </c:spPr>
        <c:dLbl>
          <c:idx val="0"/>
          <c:layout>
            <c:manualLayout>
              <c:x val="-3.6985662668040866E-3"/>
              <c:y val="1.2066363096817837E-2"/>
            </c:manualLayout>
          </c:layout>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Lst>
        </c:dLbl>
      </c:pivotFmt>
      <c:pivotFmt>
        <c:idx val="88"/>
        <c:spPr>
          <a:solidFill>
            <a:schemeClr val="accent1"/>
          </a:solidFill>
          <a:ln>
            <a:noFill/>
          </a:ln>
          <a:effectLst>
            <a:outerShdw blurRad="63500" sx="102000" sy="102000" algn="ctr" rotWithShape="0">
              <a:prstClr val="black">
                <a:alpha val="20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89"/>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90"/>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91"/>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92"/>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93"/>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94"/>
        <c:spPr>
          <a:solidFill>
            <a:schemeClr val="accent1"/>
          </a:solidFill>
          <a:ln w="15875" cmpd="tri">
            <a:solidFill>
              <a:schemeClr val="tx1"/>
            </a:solidFill>
          </a:ln>
          <a:effectLst>
            <a:outerShdw blurRad="50800" dist="63500" dir="2700000" algn="tl" rotWithShape="0">
              <a:prstClr val="black">
                <a:alpha val="40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95"/>
        <c:spPr>
          <a:solidFill>
            <a:srgbClr val="99BD66"/>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96"/>
        <c:spPr>
          <a:solidFill>
            <a:srgbClr val="C1FFC1"/>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97"/>
        <c:spPr>
          <a:solidFill>
            <a:srgbClr val="FFFF66"/>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98"/>
        <c:spPr>
          <a:solidFill>
            <a:srgbClr val="FFC267"/>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99"/>
        <c:spPr>
          <a:solidFill>
            <a:srgbClr val="FF7D67"/>
          </a:solidFill>
          <a:ln w="15875" cmpd="tri">
            <a:solidFill>
              <a:schemeClr val="tx1"/>
            </a:solidFill>
          </a:ln>
          <a:effectLst>
            <a:outerShdw blurRad="50800" dist="63500" dir="2700000" algn="tl" rotWithShape="0">
              <a:prstClr val="black">
                <a:alpha val="40000"/>
              </a:prstClr>
            </a:outerShdw>
          </a:effectLst>
        </c:spPr>
        <c:dLbl>
          <c:idx val="0"/>
          <c:layout>
            <c:manualLayout>
              <c:x val="-3.6985662668040866E-3"/>
              <c:y val="1.2066363096817837E-2"/>
            </c:manualLayout>
          </c:layout>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Lst>
        </c:dLbl>
      </c:pivotFmt>
      <c:pivotFmt>
        <c:idx val="100"/>
        <c:spPr>
          <a:solidFill>
            <a:schemeClr val="accent1"/>
          </a:solidFill>
          <a:ln>
            <a:noFill/>
          </a:ln>
          <a:effectLst>
            <a:outerShdw blurRad="63500" sx="102000" sy="102000" algn="ctr" rotWithShape="0">
              <a:prstClr val="black">
                <a:alpha val="20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01"/>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02"/>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03"/>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04"/>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05"/>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06"/>
        <c:spPr>
          <a:solidFill>
            <a:schemeClr val="accent1"/>
          </a:solidFill>
          <a:ln w="15875" cmpd="tri">
            <a:solidFill>
              <a:schemeClr val="tx1"/>
            </a:solidFill>
          </a:ln>
          <a:effectLst>
            <a:outerShdw blurRad="50800" dist="63500" dir="2700000" algn="tl" rotWithShape="0">
              <a:prstClr val="black">
                <a:alpha val="40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107"/>
        <c:spPr>
          <a:solidFill>
            <a:srgbClr val="99BD66"/>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108"/>
        <c:spPr>
          <a:solidFill>
            <a:srgbClr val="C1FFC1"/>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109"/>
        <c:spPr>
          <a:solidFill>
            <a:srgbClr val="FFFF66"/>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110"/>
        <c:spPr>
          <a:solidFill>
            <a:srgbClr val="FFC267"/>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111"/>
        <c:spPr>
          <a:solidFill>
            <a:srgbClr val="FF7D67"/>
          </a:solidFill>
          <a:ln w="15875" cmpd="tri">
            <a:solidFill>
              <a:schemeClr val="tx1"/>
            </a:solidFill>
          </a:ln>
          <a:effectLst>
            <a:outerShdw blurRad="50800" dist="63500" dir="2700000" algn="tl" rotWithShape="0">
              <a:prstClr val="black">
                <a:alpha val="40000"/>
              </a:prstClr>
            </a:outerShdw>
          </a:effectLst>
        </c:spPr>
        <c:dLbl>
          <c:idx val="0"/>
          <c:layout>
            <c:manualLayout>
              <c:x val="-3.6985662668040866E-3"/>
              <c:y val="1.2066363096817837E-2"/>
            </c:manualLayout>
          </c:layout>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Lst>
        </c:dLbl>
      </c:pivotFmt>
      <c:pivotFmt>
        <c:idx val="112"/>
        <c:spPr>
          <a:solidFill>
            <a:schemeClr val="accent1"/>
          </a:solidFill>
          <a:ln>
            <a:noFill/>
          </a:ln>
          <a:effectLst>
            <a:outerShdw blurRad="63500" sx="102000" sy="102000" algn="ctr" rotWithShape="0">
              <a:prstClr val="black">
                <a:alpha val="20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13"/>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14"/>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15"/>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16"/>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17"/>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s>
    <c:plotArea>
      <c:layout/>
      <c:pieChart>
        <c:varyColors val="1"/>
        <c:ser>
          <c:idx val="0"/>
          <c:order val="0"/>
          <c:tx>
            <c:strRef>
              <c:f>'Statistics October'!$C$51</c:f>
              <c:strCache>
                <c:ptCount val="1"/>
                <c:pt idx="0">
                  <c:v># Authorities</c:v>
                </c:pt>
              </c:strCache>
            </c:strRef>
          </c:tx>
          <c:spPr>
            <a:ln w="15875" cmpd="tri">
              <a:solidFill>
                <a:schemeClr val="tx1"/>
              </a:solidFill>
            </a:ln>
            <a:effectLst>
              <a:outerShdw blurRad="50800" dist="63500" dir="2700000" algn="tl" rotWithShape="0">
                <a:prstClr val="black">
                  <a:alpha val="40000"/>
                </a:prstClr>
              </a:outerShdw>
            </a:effectLst>
          </c:spPr>
          <c:explosion val="3"/>
          <c:dPt>
            <c:idx val="0"/>
            <c:bubble3D val="0"/>
            <c:spPr>
              <a:solidFill>
                <a:srgbClr val="99BD66"/>
              </a:solidFill>
              <a:ln w="15875" cmpd="tri">
                <a:solidFill>
                  <a:schemeClr val="tx1"/>
                </a:solidFill>
              </a:ln>
              <a:effectLst>
                <a:outerShdw blurRad="50800" dist="63500" dir="2700000" algn="tl" rotWithShape="0">
                  <a:prstClr val="black">
                    <a:alpha val="40000"/>
                  </a:prstClr>
                </a:outerShdw>
              </a:effectLst>
            </c:spPr>
            <c:extLst>
              <c:ext xmlns:c16="http://schemas.microsoft.com/office/drawing/2014/chart" uri="{C3380CC4-5D6E-409C-BE32-E72D297353CC}">
                <c16:uniqueId val="{00000001-562D-4555-BD57-94CC09DE8384}"/>
              </c:ext>
            </c:extLst>
          </c:dPt>
          <c:dPt>
            <c:idx val="1"/>
            <c:bubble3D val="0"/>
            <c:spPr>
              <a:solidFill>
                <a:srgbClr val="C1FFC1"/>
              </a:solidFill>
              <a:ln w="15875" cmpd="tri">
                <a:solidFill>
                  <a:schemeClr val="tx1"/>
                </a:solidFill>
              </a:ln>
              <a:effectLst>
                <a:outerShdw blurRad="50800" dist="63500" dir="2700000" algn="tl" rotWithShape="0">
                  <a:prstClr val="black">
                    <a:alpha val="40000"/>
                  </a:prstClr>
                </a:outerShdw>
              </a:effectLst>
            </c:spPr>
            <c:extLst>
              <c:ext xmlns:c16="http://schemas.microsoft.com/office/drawing/2014/chart" uri="{C3380CC4-5D6E-409C-BE32-E72D297353CC}">
                <c16:uniqueId val="{00000003-562D-4555-BD57-94CC09DE8384}"/>
              </c:ext>
            </c:extLst>
          </c:dPt>
          <c:dPt>
            <c:idx val="2"/>
            <c:bubble3D val="0"/>
            <c:spPr>
              <a:solidFill>
                <a:srgbClr val="FFFF66"/>
              </a:solidFill>
              <a:ln w="15875" cmpd="tri">
                <a:solidFill>
                  <a:schemeClr val="tx1"/>
                </a:solidFill>
              </a:ln>
              <a:effectLst>
                <a:outerShdw blurRad="50800" dist="63500" dir="2700000" algn="tl" rotWithShape="0">
                  <a:prstClr val="black">
                    <a:alpha val="40000"/>
                  </a:prstClr>
                </a:outerShdw>
              </a:effectLst>
            </c:spPr>
            <c:extLst>
              <c:ext xmlns:c16="http://schemas.microsoft.com/office/drawing/2014/chart" uri="{C3380CC4-5D6E-409C-BE32-E72D297353CC}">
                <c16:uniqueId val="{00000005-562D-4555-BD57-94CC09DE8384}"/>
              </c:ext>
            </c:extLst>
          </c:dPt>
          <c:dPt>
            <c:idx val="3"/>
            <c:bubble3D val="0"/>
            <c:spPr>
              <a:solidFill>
                <a:srgbClr val="FFC267"/>
              </a:solidFill>
              <a:ln w="15875" cmpd="tri">
                <a:solidFill>
                  <a:schemeClr val="tx1"/>
                </a:solidFill>
              </a:ln>
              <a:effectLst>
                <a:outerShdw blurRad="50800" dist="63500" dir="2700000" algn="tl" rotWithShape="0">
                  <a:prstClr val="black">
                    <a:alpha val="40000"/>
                  </a:prstClr>
                </a:outerShdw>
              </a:effectLst>
            </c:spPr>
            <c:extLst>
              <c:ext xmlns:c16="http://schemas.microsoft.com/office/drawing/2014/chart" uri="{C3380CC4-5D6E-409C-BE32-E72D297353CC}">
                <c16:uniqueId val="{00000007-562D-4555-BD57-94CC09DE8384}"/>
              </c:ext>
            </c:extLst>
          </c:dPt>
          <c:dPt>
            <c:idx val="4"/>
            <c:bubble3D val="0"/>
            <c:spPr>
              <a:solidFill>
                <a:srgbClr val="FF7D67"/>
              </a:solidFill>
              <a:ln w="15875" cmpd="tri">
                <a:solidFill>
                  <a:schemeClr val="tx1"/>
                </a:solidFill>
              </a:ln>
              <a:effectLst>
                <a:outerShdw blurRad="50800" dist="63500" dir="2700000" algn="tl" rotWithShape="0">
                  <a:prstClr val="black">
                    <a:alpha val="40000"/>
                  </a:prstClr>
                </a:outerShdw>
              </a:effectLst>
            </c:spPr>
            <c:extLst>
              <c:ext xmlns:c16="http://schemas.microsoft.com/office/drawing/2014/chart" uri="{C3380CC4-5D6E-409C-BE32-E72D297353CC}">
                <c16:uniqueId val="{00000009-562D-4555-BD57-94CC09DE8384}"/>
              </c:ext>
            </c:extLst>
          </c:dPt>
          <c:dLbls>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1-562D-4555-BD57-94CC09DE8384}"/>
                </c:ext>
              </c:extLst>
            </c:dLbl>
            <c:dLbl>
              <c:idx val="1"/>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3-562D-4555-BD57-94CC09DE8384}"/>
                </c:ext>
              </c:extLst>
            </c:dLbl>
            <c:dLbl>
              <c:idx val="2"/>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5-562D-4555-BD57-94CC09DE8384}"/>
                </c:ext>
              </c:extLst>
            </c:dLbl>
            <c:dLbl>
              <c:idx val="3"/>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7-562D-4555-BD57-94CC09DE8384}"/>
                </c:ext>
              </c:extLst>
            </c:dLbl>
            <c:dLbl>
              <c:idx val="4"/>
              <c:layout>
                <c:manualLayout>
                  <c:x val="-3.6987768973789086E-3"/>
                  <c:y val="3.3577733409836275E-2"/>
                </c:manualLayout>
              </c:layout>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562D-4555-BD57-94CC09DE8384}"/>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'Statistics October'!$B$52:$B$57</c:f>
              <c:strCache>
                <c:ptCount val="5"/>
                <c:pt idx="0">
                  <c:v>A</c:v>
                </c:pt>
                <c:pt idx="1">
                  <c:v>B</c:v>
                </c:pt>
                <c:pt idx="2">
                  <c:v>C</c:v>
                </c:pt>
                <c:pt idx="3">
                  <c:v>D</c:v>
                </c:pt>
                <c:pt idx="4">
                  <c:v>E</c:v>
                </c:pt>
              </c:strCache>
            </c:strRef>
          </c:cat>
          <c:val>
            <c:numRef>
              <c:f>'Statistics October'!$C$52:$C$57</c:f>
              <c:numCache>
                <c:formatCode>0</c:formatCode>
                <c:ptCount val="5"/>
                <c:pt idx="0">
                  <c:v>7</c:v>
                </c:pt>
                <c:pt idx="1">
                  <c:v>2</c:v>
                </c:pt>
                <c:pt idx="2">
                  <c:v>8</c:v>
                </c:pt>
                <c:pt idx="3">
                  <c:v>12</c:v>
                </c:pt>
                <c:pt idx="4">
                  <c:v>3</c:v>
                </c:pt>
              </c:numCache>
            </c:numRef>
          </c:val>
          <c:extLst>
            <c:ext xmlns:c16="http://schemas.microsoft.com/office/drawing/2014/chart" uri="{C3380CC4-5D6E-409C-BE32-E72D297353CC}">
              <c16:uniqueId val="{0000000A-562D-4555-BD57-94CC09DE8384}"/>
            </c:ext>
          </c:extLst>
        </c:ser>
        <c:ser>
          <c:idx val="1"/>
          <c:order val="1"/>
          <c:tx>
            <c:strRef>
              <c:f>'Statistics October'!$D$51</c:f>
              <c:strCache>
                <c:ptCount val="1"/>
                <c:pt idx="0">
                  <c:v>% Authorities</c:v>
                </c:pt>
              </c:strCache>
            </c:strRef>
          </c:tx>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C-562D-4555-BD57-94CC09DE8384}"/>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E-562D-4555-BD57-94CC09DE8384}"/>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0-562D-4555-BD57-94CC09DE8384}"/>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2-562D-4555-BD57-94CC09DE8384}"/>
              </c:ext>
            </c:extLst>
          </c:dPt>
          <c:dPt>
            <c:idx val="4"/>
            <c:bubble3D val="0"/>
            <c:spPr>
              <a:solidFill>
                <a:schemeClr val="accent5"/>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4-562D-4555-BD57-94CC09DE8384}"/>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0C-562D-4555-BD57-94CC09DE8384}"/>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0E-562D-4555-BD57-94CC09DE8384}"/>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10-562D-4555-BD57-94CC09DE8384}"/>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12-562D-4555-BD57-94CC09DE8384}"/>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14-562D-4555-BD57-94CC09DE8384}"/>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'Statistics October'!$B$52:$B$57</c:f>
              <c:strCache>
                <c:ptCount val="5"/>
                <c:pt idx="0">
                  <c:v>A</c:v>
                </c:pt>
                <c:pt idx="1">
                  <c:v>B</c:v>
                </c:pt>
                <c:pt idx="2">
                  <c:v>C</c:v>
                </c:pt>
                <c:pt idx="3">
                  <c:v>D</c:v>
                </c:pt>
                <c:pt idx="4">
                  <c:v>E</c:v>
                </c:pt>
              </c:strCache>
            </c:strRef>
          </c:cat>
          <c:val>
            <c:numRef>
              <c:f>'Statistics October'!$D$52:$D$57</c:f>
              <c:numCache>
                <c:formatCode>0%</c:formatCode>
                <c:ptCount val="5"/>
                <c:pt idx="0">
                  <c:v>0.21875</c:v>
                </c:pt>
                <c:pt idx="1">
                  <c:v>6.25E-2</c:v>
                </c:pt>
                <c:pt idx="2">
                  <c:v>0.25</c:v>
                </c:pt>
                <c:pt idx="3">
                  <c:v>0.375</c:v>
                </c:pt>
                <c:pt idx="4">
                  <c:v>9.375E-2</c:v>
                </c:pt>
              </c:numCache>
            </c:numRef>
          </c:val>
          <c:extLst>
            <c:ext xmlns:c16="http://schemas.microsoft.com/office/drawing/2014/chart" uri="{C3380CC4-5D6E-409C-BE32-E72D297353CC}">
              <c16:uniqueId val="{00000015-562D-4555-BD57-94CC09DE8384}"/>
            </c:ext>
          </c:extLst>
        </c:ser>
        <c:dLbls>
          <c:dLblPos val="outEnd"/>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a:outerShdw blurRad="50800" dist="127000" dir="2700000" algn="tl" rotWithShape="0">
        <a:prstClr val="black">
          <a:alpha val="40000"/>
        </a:prstClr>
      </a:outerShdw>
    </a:effectLst>
    <a:scene3d>
      <a:camera prst="orthographicFront"/>
      <a:lightRig rig="threePt" dir="t"/>
    </a:scene3d>
    <a:sp3d>
      <a:bevelT/>
    </a:sp3d>
  </c:spPr>
  <c:txPr>
    <a:bodyPr/>
    <a:lstStyle/>
    <a:p>
      <a:pPr>
        <a:defRPr/>
      </a:pPr>
      <a:endParaRPr lang="en-US"/>
    </a:p>
  </c:txPr>
  <c:externalData r:id="rId4">
    <c:autoUpdate val="0"/>
  </c:externalData>
  <c:extLst>
    <c:ext xmlns:c14="http://schemas.microsoft.com/office/drawing/2007/8/2/chart" uri="{781A3756-C4B2-4CAC-9D66-4F8BD8637D16}">
      <c14:pivotOptions>
        <c14:dropZoneFilter val="1"/>
        <c14:dropZoneData val="1"/>
        <c14:dropZoneSeries val="1"/>
      </c14:pivotOptions>
    </c:ext>
    <c:ext xmlns:c16="http://schemas.microsoft.com/office/drawing/2014/chart" uri="{E28EC0CA-F0BB-4C9C-879D-F8772B89E7AC}">
      <c16:pivotOptions16>
        <c16:showExpandCollapseFieldButtons val="1"/>
      </c16:pivotOptions16>
    </c:ext>
  </c:extLst>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[Licensing authorities’ approach to the Equality Act 2010 provisions on taxi wheelchair discrimination.xlsx]Statistics October!GradeEngOct</c:name>
    <c:fmtId val="-1"/>
  </c:pivotSource>
  <c:chart>
    <c:title>
      <c:tx>
        <c:rich>
          <a:bodyPr rot="0" spcFirstLastPara="1" vertOverflow="ellipsis" vert="horz" wrap="square" anchor="ctr" anchorCtr="1"/>
          <a:lstStyle/>
          <a:p>
            <a:pPr>
              <a:defRPr sz="1200" b="1" i="0" u="none" strike="noStrike" kern="1200" cap="all" baseline="0">
                <a:solidFill>
                  <a:schemeClr val="tx1">
                    <a:lumMod val="65000"/>
                    <a:lumOff val="35000"/>
                  </a:schemeClr>
                </a:solidFill>
                <a:latin typeface="+mn-lt"/>
                <a:ea typeface="+mn-ea"/>
                <a:cs typeface="+mn-cs"/>
              </a:defRPr>
            </a:pPr>
            <a:r>
              <a:rPr lang="en-GB" sz="1200" b="1" i="0" cap="none" baseline="0">
                <a:effectLst/>
              </a:rPr>
              <a:t>England Authorities</a:t>
            </a:r>
            <a:endParaRPr lang="en-GB" sz="1200" cap="none" baseline="0">
              <a:effectLst/>
            </a:endParaRPr>
          </a:p>
          <a:p>
            <a:pPr>
              <a:defRPr sz="1200"/>
            </a:pPr>
            <a:r>
              <a:rPr lang="en-GB" sz="1200" b="1" i="0" cap="none" baseline="0">
                <a:effectLst/>
              </a:rPr>
              <a:t>S167 Grade November 2017</a:t>
            </a:r>
          </a:p>
        </c:rich>
      </c:tx>
      <c:overlay val="0"/>
      <c:spPr>
        <a:noFill/>
        <a:ln>
          <a:noFill/>
        </a:ln>
        <a:effectLst/>
      </c:spPr>
      <c:txPr>
        <a:bodyPr rot="0" spcFirstLastPara="1" vertOverflow="ellipsis" vert="horz" wrap="square" anchor="ctr" anchorCtr="1"/>
        <a:lstStyle/>
        <a:p>
          <a:pPr>
            <a:defRPr sz="1200" b="1" i="0" u="none" strike="noStrike" kern="1200" cap="all" baseline="0">
              <a:solidFill>
                <a:schemeClr val="tx1">
                  <a:lumMod val="65000"/>
                  <a:lumOff val="35000"/>
                </a:schemeClr>
              </a:solidFill>
              <a:latin typeface="+mn-lt"/>
              <a:ea typeface="+mn-ea"/>
              <a:cs typeface="+mn-cs"/>
            </a:defRPr>
          </a:pPr>
          <a:endParaRPr lang="en-US"/>
        </a:p>
      </c:txPr>
    </c:title>
    <c:autoTitleDeleted val="0"/>
    <c:pivotFmts>
      <c:pivotFmt>
        <c:idx val="0"/>
        <c:spPr>
          <a:solidFill>
            <a:schemeClr val="accent1"/>
          </a:solidFill>
          <a:ln>
            <a:noFill/>
          </a:ln>
          <a:effectLst>
            <a:outerShdw blurRad="63500" sx="102000" sy="102000" algn="ctr" rotWithShape="0">
              <a:prstClr val="black">
                <a:alpha val="20000"/>
              </a:prstClr>
            </a:outerShdw>
          </a:effectLst>
        </c:spPr>
        <c:marker>
          <c:symbol val="circle"/>
          <c:size val="6"/>
        </c:marke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1"/>
        <c:spPr>
          <a:solidFill>
            <a:schemeClr val="accent1"/>
          </a:solidFill>
          <a:ln>
            <a:noFill/>
          </a:ln>
          <a:effectLst>
            <a:outerShdw blurRad="63500" sx="102000" sy="102000" algn="ctr" rotWithShape="0">
              <a:prstClr val="black">
                <a:alpha val="20000"/>
              </a:prstClr>
            </a:outerShdw>
          </a:effectLst>
        </c:spPr>
        <c:marker>
          <c:symbol val="circle"/>
          <c:size val="6"/>
        </c:marke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2"/>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15:xForSave val="1"/>
            </c:ext>
          </c:extLst>
        </c:dLbl>
      </c:pivotFmt>
      <c:pivotFmt>
        <c:idx val="3"/>
        <c:spPr>
          <a:solidFill>
            <a:schemeClr val="accent2"/>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15:xForSave val="1"/>
            </c:ext>
          </c:extLst>
        </c:dLbl>
      </c:pivotFmt>
      <c:pivotFmt>
        <c:idx val="4"/>
        <c:spPr>
          <a:solidFill>
            <a:schemeClr val="accent3"/>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15:xForSave val="1"/>
            </c:ext>
          </c:extLst>
        </c:dLbl>
      </c:pivotFmt>
      <c:pivotFmt>
        <c:idx val="5"/>
        <c:spPr>
          <a:solidFill>
            <a:schemeClr val="accent4"/>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15:xForSave val="1"/>
            </c:ext>
          </c:extLst>
        </c:dLbl>
      </c:pivotFmt>
      <c:pivotFmt>
        <c:idx val="6"/>
        <c:spPr>
          <a:solidFill>
            <a:schemeClr val="accent5"/>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15:xForSave val="1"/>
            </c:ext>
          </c:extLst>
        </c:dLbl>
      </c:pivotFmt>
      <c:pivotFmt>
        <c:idx val="7"/>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15:xForSave val="1"/>
            </c:ext>
          </c:extLst>
        </c:dLbl>
      </c:pivotFmt>
      <c:pivotFmt>
        <c:idx val="8"/>
        <c:spPr>
          <a:solidFill>
            <a:schemeClr val="accent2"/>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15:xForSave val="1"/>
            </c:ext>
          </c:extLst>
        </c:dLbl>
      </c:pivotFmt>
      <c:pivotFmt>
        <c:idx val="9"/>
        <c:spPr>
          <a:solidFill>
            <a:schemeClr val="accent3"/>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15:xForSave val="1"/>
            </c:ext>
          </c:extLst>
        </c:dLbl>
      </c:pivotFmt>
      <c:pivotFmt>
        <c:idx val="10"/>
        <c:spPr>
          <a:solidFill>
            <a:schemeClr val="accent4"/>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15:xForSave val="1"/>
            </c:ext>
          </c:extLst>
        </c:dLbl>
      </c:pivotFmt>
      <c:pivotFmt>
        <c:idx val="11"/>
        <c:spPr>
          <a:solidFill>
            <a:schemeClr val="accent5"/>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15:xForSave val="1"/>
            </c:ext>
          </c:extLst>
        </c:dLbl>
      </c:pivotFmt>
      <c:pivotFmt>
        <c:idx val="12"/>
        <c:spPr>
          <a:solidFill>
            <a:schemeClr val="accent1"/>
          </a:solidFill>
          <a:ln w="15875" cmpd="tri">
            <a:solidFill>
              <a:schemeClr val="tx1"/>
            </a:solidFill>
          </a:ln>
          <a:effectLst>
            <a:outerShdw blurRad="50800" dist="63500" dir="2700000" algn="tl" rotWithShape="0">
              <a:prstClr val="black">
                <a:alpha val="40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400" b="1" i="0" u="none" strike="noStrike" kern="1200" spc="0" baseline="0">
                  <a:solidFill>
                    <a:schemeClr val="accent1"/>
                  </a:solidFill>
                  <a:latin typeface="+mn-lt"/>
                  <a:ea typeface="+mn-ea"/>
                  <a:cs typeface="+mn-cs"/>
                </a:defRPr>
              </a:pPr>
              <a:endParaRPr lang="en-US"/>
            </a:p>
          </c:txPr>
          <c:showLegendKey val="0"/>
          <c:showVal val="0"/>
          <c:showCatName val="0"/>
          <c:showSerName val="0"/>
          <c:showPercent val="1"/>
          <c:showBubbleSize val="0"/>
          <c:separator>
</c:separator>
          <c:extLst>
            <c:ext xmlns:c15="http://schemas.microsoft.com/office/drawing/2012/chart" uri="{CE6537A1-D6FC-4f65-9D91-7224C49458BB}"/>
          </c:extLst>
        </c:dLbl>
      </c:pivotFmt>
      <c:pivotFmt>
        <c:idx val="13"/>
        <c:spPr>
          <a:solidFill>
            <a:srgbClr val="99BD66"/>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4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separator>
</c:separator>
          <c:extLst>
            <c:ext xmlns:c15="http://schemas.microsoft.com/office/drawing/2012/chart" uri="{CE6537A1-D6FC-4f65-9D91-7224C49458BB}"/>
          </c:extLst>
        </c:dLbl>
      </c:pivotFmt>
      <c:pivotFmt>
        <c:idx val="14"/>
        <c:spPr>
          <a:solidFill>
            <a:srgbClr val="C1FFC1"/>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4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separator>
</c:separator>
          <c:extLst>
            <c:ext xmlns:c15="http://schemas.microsoft.com/office/drawing/2012/chart" uri="{CE6537A1-D6FC-4f65-9D91-7224C49458BB}"/>
          </c:extLst>
        </c:dLbl>
      </c:pivotFmt>
      <c:pivotFmt>
        <c:idx val="15"/>
        <c:spPr>
          <a:solidFill>
            <a:srgbClr val="FFFF66"/>
          </a:solidFill>
          <a:ln w="15875" cmpd="tri">
            <a:solidFill>
              <a:schemeClr val="tx1"/>
            </a:solidFill>
          </a:ln>
          <a:effectLst>
            <a:outerShdw blurRad="50800" dist="63500" dir="2700000" algn="tl" rotWithShape="0">
              <a:prstClr val="black">
                <a:alpha val="40000"/>
              </a:prstClr>
            </a:outerShdw>
          </a:effectLst>
        </c:spPr>
        <c:dLbl>
          <c:idx val="0"/>
          <c:layout>
            <c:manualLayout>
              <c:x val="0.10482583349824562"/>
              <c:y val="-2.6666666666666666E-3"/>
            </c:manualLayout>
          </c:layout>
          <c:spPr>
            <a:noFill/>
            <a:ln>
              <a:noFill/>
            </a:ln>
            <a:effectLst/>
          </c:spPr>
          <c:txPr>
            <a:bodyPr rot="0" spcFirstLastPara="1" vertOverflow="ellipsis" vert="horz" wrap="square" lIns="38100" tIns="19050" rIns="38100" bIns="19050" anchor="ctr" anchorCtr="1">
              <a:spAutoFit/>
            </a:bodyPr>
            <a:lstStyle/>
            <a:p>
              <a:pPr>
                <a:defRPr sz="1400" b="1" i="0" u="none" strike="noStrike" kern="1200" spc="0" baseline="0">
                  <a:solidFill>
                    <a:schemeClr val="accent1"/>
                  </a:solidFill>
                  <a:latin typeface="+mn-lt"/>
                  <a:ea typeface="+mn-ea"/>
                  <a:cs typeface="+mn-cs"/>
                </a:defRPr>
              </a:pPr>
              <a:endParaRPr lang="en-US"/>
            </a:p>
          </c:txPr>
          <c:dLblPos val="bestFit"/>
          <c:showLegendKey val="0"/>
          <c:showVal val="0"/>
          <c:showCatName val="1"/>
          <c:showSerName val="0"/>
          <c:showPercent val="1"/>
          <c:showBubbleSize val="0"/>
          <c:separator>
</c:separator>
          <c:extLst>
            <c:ext xmlns:c15="http://schemas.microsoft.com/office/drawing/2012/chart" uri="{CE6537A1-D6FC-4f65-9D91-7224C49458BB}"/>
          </c:extLst>
        </c:dLbl>
      </c:pivotFmt>
      <c:pivotFmt>
        <c:idx val="16"/>
        <c:spPr>
          <a:solidFill>
            <a:srgbClr val="FFC267"/>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4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separator>
</c:separator>
          <c:extLst>
            <c:ext xmlns:c15="http://schemas.microsoft.com/office/drawing/2012/chart" uri="{CE6537A1-D6FC-4f65-9D91-7224C49458BB}"/>
          </c:extLst>
        </c:dLbl>
      </c:pivotFmt>
      <c:pivotFmt>
        <c:idx val="17"/>
        <c:spPr>
          <a:solidFill>
            <a:srgbClr val="FF7D67"/>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4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separator>
</c:separator>
          <c:extLst>
            <c:ext xmlns:c15="http://schemas.microsoft.com/office/drawing/2012/chart" uri="{CE6537A1-D6FC-4f65-9D91-7224C49458BB}"/>
          </c:extLst>
        </c:dLbl>
      </c:pivotFmt>
      <c:pivotFmt>
        <c:idx val="18"/>
        <c:spPr>
          <a:solidFill>
            <a:schemeClr val="accent1"/>
          </a:solidFill>
          <a:ln>
            <a:noFill/>
          </a:ln>
          <a:effectLst>
            <a:outerShdw blurRad="63500" sx="102000" sy="102000" algn="ctr" rotWithShape="0">
              <a:prstClr val="black">
                <a:alpha val="20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9"/>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20"/>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21"/>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22"/>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23"/>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24"/>
        <c:spPr>
          <a:solidFill>
            <a:schemeClr val="accent1"/>
          </a:solidFill>
          <a:ln w="15875" cmpd="tri">
            <a:solidFill>
              <a:schemeClr val="tx1"/>
            </a:solidFill>
          </a:ln>
          <a:effectLst>
            <a:outerShdw blurRad="50800" dist="63500" dir="2700000" algn="tl" rotWithShape="0">
              <a:prstClr val="black">
                <a:alpha val="40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25"/>
        <c:spPr>
          <a:solidFill>
            <a:srgbClr val="99BD66"/>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400" b="1" i="0" u="none" strike="noStrike" kern="1200" spc="0" baseline="0">
                  <a:solidFill>
                    <a:schemeClr val="tx1"/>
                  </a:solidFill>
                  <a:latin typeface="+mn-lt"/>
                  <a:ea typeface="+mn-ea"/>
                  <a:cs typeface="+mn-cs"/>
                </a:defRPr>
              </a:pPr>
              <a:endParaRPr lang="en-US"/>
            </a:p>
          </c:txPr>
          <c:dLblPos val="outEnd"/>
          <c:showLegendKey val="0"/>
          <c:showVal val="0"/>
          <c:showCatName val="0"/>
          <c:showSerName val="0"/>
          <c:showPercent val="1"/>
          <c:showBubbleSize val="0"/>
          <c:extLst>
            <c:ext xmlns:c15="http://schemas.microsoft.com/office/drawing/2012/chart" uri="{CE6537A1-D6FC-4f65-9D91-7224C49458BB}"/>
          </c:extLst>
        </c:dLbl>
      </c:pivotFmt>
      <c:pivotFmt>
        <c:idx val="26"/>
        <c:spPr>
          <a:solidFill>
            <a:srgbClr val="C1FFC1"/>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400" b="1" i="0" u="none" strike="noStrike" kern="1200" spc="0" baseline="0">
                  <a:solidFill>
                    <a:schemeClr val="tx1"/>
                  </a:solidFill>
                  <a:latin typeface="+mn-lt"/>
                  <a:ea typeface="+mn-ea"/>
                  <a:cs typeface="+mn-cs"/>
                </a:defRPr>
              </a:pPr>
              <a:endParaRPr lang="en-US"/>
            </a:p>
          </c:txPr>
          <c:dLblPos val="outEnd"/>
          <c:showLegendKey val="0"/>
          <c:showVal val="0"/>
          <c:showCatName val="0"/>
          <c:showSerName val="0"/>
          <c:showPercent val="1"/>
          <c:showBubbleSize val="0"/>
          <c:extLst>
            <c:ext xmlns:c15="http://schemas.microsoft.com/office/drawing/2012/chart" uri="{CE6537A1-D6FC-4f65-9D91-7224C49458BB}"/>
          </c:extLst>
        </c:dLbl>
      </c:pivotFmt>
      <c:pivotFmt>
        <c:idx val="27"/>
        <c:spPr>
          <a:solidFill>
            <a:srgbClr val="FFFF66"/>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400" b="1" i="0" u="none" strike="noStrike" kern="1200" spc="0" baseline="0">
                  <a:solidFill>
                    <a:schemeClr val="tx1"/>
                  </a:solidFill>
                  <a:latin typeface="+mn-lt"/>
                  <a:ea typeface="+mn-ea"/>
                  <a:cs typeface="+mn-cs"/>
                </a:defRPr>
              </a:pPr>
              <a:endParaRPr lang="en-US"/>
            </a:p>
          </c:txPr>
          <c:dLblPos val="outEnd"/>
          <c:showLegendKey val="0"/>
          <c:showVal val="0"/>
          <c:showCatName val="0"/>
          <c:showSerName val="0"/>
          <c:showPercent val="1"/>
          <c:showBubbleSize val="0"/>
          <c:extLst>
            <c:ext xmlns:c15="http://schemas.microsoft.com/office/drawing/2012/chart" uri="{CE6537A1-D6FC-4f65-9D91-7224C49458BB}"/>
          </c:extLst>
        </c:dLbl>
      </c:pivotFmt>
      <c:pivotFmt>
        <c:idx val="28"/>
        <c:spPr>
          <a:solidFill>
            <a:srgbClr val="FFC267"/>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400" b="1" i="0" u="none" strike="noStrike" kern="1200" spc="0" baseline="0">
                  <a:solidFill>
                    <a:schemeClr val="tx1"/>
                  </a:solidFill>
                  <a:latin typeface="+mn-lt"/>
                  <a:ea typeface="+mn-ea"/>
                  <a:cs typeface="+mn-cs"/>
                </a:defRPr>
              </a:pPr>
              <a:endParaRPr lang="en-US"/>
            </a:p>
          </c:txPr>
          <c:dLblPos val="outEnd"/>
          <c:showLegendKey val="0"/>
          <c:showVal val="0"/>
          <c:showCatName val="0"/>
          <c:showSerName val="0"/>
          <c:showPercent val="1"/>
          <c:showBubbleSize val="0"/>
          <c:extLst>
            <c:ext xmlns:c15="http://schemas.microsoft.com/office/drawing/2012/chart" uri="{CE6537A1-D6FC-4f65-9D91-7224C49458BB}"/>
          </c:extLst>
        </c:dLbl>
      </c:pivotFmt>
      <c:pivotFmt>
        <c:idx val="29"/>
        <c:spPr>
          <a:solidFill>
            <a:srgbClr val="FF7D67"/>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400" b="1" i="0" u="none" strike="noStrike" kern="1200" spc="0" baseline="0">
                  <a:solidFill>
                    <a:schemeClr val="tx1"/>
                  </a:solidFill>
                  <a:latin typeface="+mn-lt"/>
                  <a:ea typeface="+mn-ea"/>
                  <a:cs typeface="+mn-cs"/>
                </a:defRPr>
              </a:pPr>
              <a:endParaRPr lang="en-US"/>
            </a:p>
          </c:txPr>
          <c:dLblPos val="outEnd"/>
          <c:showLegendKey val="0"/>
          <c:showVal val="0"/>
          <c:showCatName val="0"/>
          <c:showSerName val="0"/>
          <c:showPercent val="1"/>
          <c:showBubbleSize val="0"/>
          <c:extLst>
            <c:ext xmlns:c15="http://schemas.microsoft.com/office/drawing/2012/chart" uri="{CE6537A1-D6FC-4f65-9D91-7224C49458BB}"/>
          </c:extLst>
        </c:dLbl>
      </c:pivotFmt>
      <c:pivotFmt>
        <c:idx val="30"/>
        <c:spPr>
          <a:solidFill>
            <a:schemeClr val="accent1"/>
          </a:solidFill>
          <a:ln>
            <a:noFill/>
          </a:ln>
          <a:effectLst>
            <a:outerShdw blurRad="63500" sx="102000" sy="102000" algn="ctr" rotWithShape="0">
              <a:prstClr val="black">
                <a:alpha val="20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1"/>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2"/>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3"/>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4"/>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5"/>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6"/>
        <c:spPr>
          <a:solidFill>
            <a:srgbClr val="99BD66"/>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37"/>
        <c:spPr>
          <a:solidFill>
            <a:srgbClr val="C1FFC1"/>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38"/>
        <c:spPr>
          <a:solidFill>
            <a:srgbClr val="FFFF66"/>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39"/>
        <c:spPr>
          <a:solidFill>
            <a:srgbClr val="FFC267"/>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40"/>
        <c:spPr>
          <a:solidFill>
            <a:srgbClr val="FF7D67"/>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41"/>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42"/>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43"/>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44"/>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45"/>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46"/>
        <c:spPr>
          <a:solidFill>
            <a:schemeClr val="accent1"/>
          </a:solidFill>
          <a:ln w="15875" cmpd="tri">
            <a:solidFill>
              <a:schemeClr val="tx1"/>
            </a:solidFill>
          </a:ln>
          <a:effectLst>
            <a:outerShdw blurRad="50800" dist="63500" dir="2700000" algn="tl" rotWithShape="0">
              <a:prstClr val="black">
                <a:alpha val="40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47"/>
        <c:spPr>
          <a:solidFill>
            <a:srgbClr val="99BD66"/>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48"/>
        <c:spPr>
          <a:solidFill>
            <a:srgbClr val="C1FFC1"/>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49"/>
        <c:spPr>
          <a:solidFill>
            <a:srgbClr val="FFFF66"/>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50"/>
        <c:spPr>
          <a:solidFill>
            <a:srgbClr val="FFC267"/>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51"/>
        <c:spPr>
          <a:solidFill>
            <a:srgbClr val="FF7D67"/>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52"/>
        <c:spPr>
          <a:solidFill>
            <a:schemeClr val="accent1"/>
          </a:solidFill>
          <a:ln>
            <a:noFill/>
          </a:ln>
          <a:effectLst>
            <a:outerShdw blurRad="63500" sx="102000" sy="102000" algn="ctr" rotWithShape="0">
              <a:prstClr val="black">
                <a:alpha val="20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53"/>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54"/>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55"/>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56"/>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57"/>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58"/>
        <c:spPr>
          <a:solidFill>
            <a:schemeClr val="accent1"/>
          </a:solidFill>
          <a:ln w="15875" cmpd="tri">
            <a:solidFill>
              <a:schemeClr val="tx1"/>
            </a:solidFill>
          </a:ln>
          <a:effectLst>
            <a:outerShdw blurRad="50800" dist="63500" dir="2700000" algn="tl" rotWithShape="0">
              <a:prstClr val="black">
                <a:alpha val="40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59"/>
        <c:spPr>
          <a:solidFill>
            <a:srgbClr val="99BD66"/>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60"/>
        <c:spPr>
          <a:solidFill>
            <a:srgbClr val="C1FFC1"/>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61"/>
        <c:spPr>
          <a:solidFill>
            <a:srgbClr val="FFFF66"/>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62"/>
        <c:spPr>
          <a:solidFill>
            <a:srgbClr val="FFC267"/>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63"/>
        <c:spPr>
          <a:solidFill>
            <a:srgbClr val="FF7D67"/>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64"/>
        <c:spPr>
          <a:solidFill>
            <a:schemeClr val="accent1"/>
          </a:solidFill>
          <a:ln>
            <a:noFill/>
          </a:ln>
          <a:effectLst>
            <a:outerShdw blurRad="63500" sx="102000" sy="102000" algn="ctr" rotWithShape="0">
              <a:prstClr val="black">
                <a:alpha val="20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65"/>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66"/>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67"/>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68"/>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69"/>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70"/>
        <c:spPr>
          <a:solidFill>
            <a:schemeClr val="accent1"/>
          </a:solidFill>
          <a:ln w="15875" cmpd="tri">
            <a:solidFill>
              <a:schemeClr val="tx1"/>
            </a:solidFill>
          </a:ln>
          <a:effectLst>
            <a:outerShdw blurRad="50800" dist="63500" dir="2700000" algn="tl" rotWithShape="0">
              <a:prstClr val="black">
                <a:alpha val="40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71"/>
        <c:spPr>
          <a:solidFill>
            <a:srgbClr val="99BD66"/>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72"/>
        <c:spPr>
          <a:solidFill>
            <a:srgbClr val="C1FFC1"/>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73"/>
        <c:spPr>
          <a:solidFill>
            <a:srgbClr val="FFFF66"/>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74"/>
        <c:spPr>
          <a:solidFill>
            <a:srgbClr val="FFC267"/>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75"/>
        <c:spPr>
          <a:solidFill>
            <a:srgbClr val="FF7D67"/>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76"/>
        <c:spPr>
          <a:solidFill>
            <a:schemeClr val="accent1"/>
          </a:solidFill>
          <a:ln>
            <a:noFill/>
          </a:ln>
          <a:effectLst>
            <a:outerShdw blurRad="63500" sx="102000" sy="102000" algn="ctr" rotWithShape="0">
              <a:prstClr val="black">
                <a:alpha val="20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77"/>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78"/>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79"/>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80"/>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81"/>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82"/>
        <c:spPr>
          <a:solidFill>
            <a:schemeClr val="accent1"/>
          </a:solidFill>
          <a:ln w="15875" cmpd="tri">
            <a:solidFill>
              <a:schemeClr val="tx1"/>
            </a:solidFill>
          </a:ln>
          <a:effectLst>
            <a:outerShdw blurRad="50800" dist="63500" dir="2700000" algn="tl" rotWithShape="0">
              <a:prstClr val="black">
                <a:alpha val="40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83"/>
        <c:spPr>
          <a:solidFill>
            <a:srgbClr val="99BD66"/>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84"/>
        <c:spPr>
          <a:solidFill>
            <a:srgbClr val="C1FFC1"/>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85"/>
        <c:spPr>
          <a:solidFill>
            <a:srgbClr val="FFFF66"/>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86"/>
        <c:spPr>
          <a:solidFill>
            <a:srgbClr val="FFC267"/>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87"/>
        <c:spPr>
          <a:solidFill>
            <a:srgbClr val="FF7D67"/>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88"/>
        <c:spPr>
          <a:solidFill>
            <a:schemeClr val="accent1"/>
          </a:solidFill>
          <a:ln>
            <a:noFill/>
          </a:ln>
          <a:effectLst>
            <a:outerShdw blurRad="63500" sx="102000" sy="102000" algn="ctr" rotWithShape="0">
              <a:prstClr val="black">
                <a:alpha val="20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89"/>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90"/>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91"/>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92"/>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93"/>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94"/>
        <c:spPr>
          <a:solidFill>
            <a:schemeClr val="accent1"/>
          </a:solidFill>
          <a:ln w="15875" cmpd="tri">
            <a:solidFill>
              <a:schemeClr val="tx1"/>
            </a:solidFill>
          </a:ln>
          <a:effectLst>
            <a:outerShdw blurRad="50800" dist="63500" dir="2700000" algn="tl" rotWithShape="0">
              <a:prstClr val="black">
                <a:alpha val="40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95"/>
        <c:spPr>
          <a:solidFill>
            <a:srgbClr val="99BD66"/>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96"/>
        <c:spPr>
          <a:solidFill>
            <a:srgbClr val="C1FFC1"/>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97"/>
        <c:spPr>
          <a:solidFill>
            <a:srgbClr val="FFFF66"/>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98"/>
        <c:spPr>
          <a:solidFill>
            <a:srgbClr val="FFC267"/>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99"/>
        <c:spPr>
          <a:solidFill>
            <a:srgbClr val="FF7D67"/>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100"/>
        <c:spPr>
          <a:solidFill>
            <a:schemeClr val="accent1"/>
          </a:solidFill>
          <a:ln>
            <a:noFill/>
          </a:ln>
          <a:effectLst>
            <a:outerShdw blurRad="63500" sx="102000" sy="102000" algn="ctr" rotWithShape="0">
              <a:prstClr val="black">
                <a:alpha val="20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01"/>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02"/>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03"/>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04"/>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05"/>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06"/>
        <c:spPr>
          <a:solidFill>
            <a:schemeClr val="accent1"/>
          </a:solidFill>
          <a:ln w="15875" cmpd="tri">
            <a:solidFill>
              <a:schemeClr val="tx1"/>
            </a:solidFill>
          </a:ln>
          <a:effectLst>
            <a:outerShdw blurRad="50800" dist="63500" dir="2700000" algn="tl" rotWithShape="0">
              <a:prstClr val="black">
                <a:alpha val="40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107"/>
        <c:spPr>
          <a:solidFill>
            <a:srgbClr val="99BD66"/>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108"/>
        <c:spPr>
          <a:solidFill>
            <a:srgbClr val="C1FFC1"/>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109"/>
        <c:spPr>
          <a:solidFill>
            <a:srgbClr val="FFFF66"/>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110"/>
        <c:spPr>
          <a:solidFill>
            <a:srgbClr val="FFC267"/>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111"/>
        <c:spPr>
          <a:solidFill>
            <a:srgbClr val="FF7D67"/>
          </a:solidFill>
          <a:ln w="15875" cmpd="tri">
            <a:solidFill>
              <a:schemeClr val="tx1"/>
            </a:solidFill>
          </a:ln>
          <a:effectLst>
            <a:outerShdw blurRad="50800" dist="63500" dir="2700000" algn="tl" rotWithShape="0">
              <a:prstClr val="black">
                <a:alpha val="4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112"/>
        <c:spPr>
          <a:solidFill>
            <a:schemeClr val="accent1"/>
          </a:solidFill>
          <a:ln>
            <a:noFill/>
          </a:ln>
          <a:effectLst>
            <a:outerShdw blurRad="63500" sx="102000" sy="102000" algn="ctr" rotWithShape="0">
              <a:prstClr val="black">
                <a:alpha val="20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13"/>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14"/>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15"/>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16"/>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17"/>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s>
    <c:plotArea>
      <c:layout/>
      <c:pieChart>
        <c:varyColors val="1"/>
        <c:ser>
          <c:idx val="0"/>
          <c:order val="0"/>
          <c:tx>
            <c:strRef>
              <c:f>'Statistics October'!$C$33</c:f>
              <c:strCache>
                <c:ptCount val="1"/>
                <c:pt idx="0">
                  <c:v># Authorities</c:v>
                </c:pt>
              </c:strCache>
            </c:strRef>
          </c:tx>
          <c:spPr>
            <a:ln w="15875" cmpd="tri">
              <a:solidFill>
                <a:schemeClr val="tx1"/>
              </a:solidFill>
            </a:ln>
            <a:effectLst>
              <a:outerShdw blurRad="50800" dist="63500" dir="2700000" algn="tl" rotWithShape="0">
                <a:prstClr val="black">
                  <a:alpha val="40000"/>
                </a:prstClr>
              </a:outerShdw>
            </a:effectLst>
          </c:spPr>
          <c:explosion val="3"/>
          <c:dPt>
            <c:idx val="0"/>
            <c:bubble3D val="0"/>
            <c:spPr>
              <a:solidFill>
                <a:srgbClr val="99BD66"/>
              </a:solidFill>
              <a:ln w="15875" cmpd="tri">
                <a:solidFill>
                  <a:schemeClr val="tx1"/>
                </a:solidFill>
              </a:ln>
              <a:effectLst>
                <a:outerShdw blurRad="50800" dist="63500" dir="2700000" algn="tl" rotWithShape="0">
                  <a:prstClr val="black">
                    <a:alpha val="40000"/>
                  </a:prstClr>
                </a:outerShdw>
              </a:effectLst>
            </c:spPr>
            <c:extLst>
              <c:ext xmlns:c16="http://schemas.microsoft.com/office/drawing/2014/chart" uri="{C3380CC4-5D6E-409C-BE32-E72D297353CC}">
                <c16:uniqueId val="{00000001-2264-4FB6-B148-D41D2288FC74}"/>
              </c:ext>
            </c:extLst>
          </c:dPt>
          <c:dPt>
            <c:idx val="1"/>
            <c:bubble3D val="0"/>
            <c:spPr>
              <a:solidFill>
                <a:srgbClr val="C1FFC1"/>
              </a:solidFill>
              <a:ln w="15875" cmpd="tri">
                <a:solidFill>
                  <a:schemeClr val="tx1"/>
                </a:solidFill>
              </a:ln>
              <a:effectLst>
                <a:outerShdw blurRad="50800" dist="63500" dir="2700000" algn="tl" rotWithShape="0">
                  <a:prstClr val="black">
                    <a:alpha val="40000"/>
                  </a:prstClr>
                </a:outerShdw>
              </a:effectLst>
            </c:spPr>
            <c:extLst>
              <c:ext xmlns:c16="http://schemas.microsoft.com/office/drawing/2014/chart" uri="{C3380CC4-5D6E-409C-BE32-E72D297353CC}">
                <c16:uniqueId val="{00000003-2264-4FB6-B148-D41D2288FC74}"/>
              </c:ext>
            </c:extLst>
          </c:dPt>
          <c:dPt>
            <c:idx val="2"/>
            <c:bubble3D val="0"/>
            <c:spPr>
              <a:solidFill>
                <a:srgbClr val="FFFF66"/>
              </a:solidFill>
              <a:ln w="15875" cmpd="tri">
                <a:solidFill>
                  <a:schemeClr val="tx1"/>
                </a:solidFill>
              </a:ln>
              <a:effectLst>
                <a:outerShdw blurRad="50800" dist="63500" dir="2700000" algn="tl" rotWithShape="0">
                  <a:prstClr val="black">
                    <a:alpha val="40000"/>
                  </a:prstClr>
                </a:outerShdw>
              </a:effectLst>
            </c:spPr>
            <c:extLst>
              <c:ext xmlns:c16="http://schemas.microsoft.com/office/drawing/2014/chart" uri="{C3380CC4-5D6E-409C-BE32-E72D297353CC}">
                <c16:uniqueId val="{00000005-2264-4FB6-B148-D41D2288FC74}"/>
              </c:ext>
            </c:extLst>
          </c:dPt>
          <c:dPt>
            <c:idx val="3"/>
            <c:bubble3D val="0"/>
            <c:spPr>
              <a:solidFill>
                <a:srgbClr val="FFC267"/>
              </a:solidFill>
              <a:ln w="15875" cmpd="tri">
                <a:solidFill>
                  <a:schemeClr val="tx1"/>
                </a:solidFill>
              </a:ln>
              <a:effectLst>
                <a:outerShdw blurRad="50800" dist="63500" dir="2700000" algn="tl" rotWithShape="0">
                  <a:prstClr val="black">
                    <a:alpha val="40000"/>
                  </a:prstClr>
                </a:outerShdw>
              </a:effectLst>
            </c:spPr>
            <c:extLst>
              <c:ext xmlns:c16="http://schemas.microsoft.com/office/drawing/2014/chart" uri="{C3380CC4-5D6E-409C-BE32-E72D297353CC}">
                <c16:uniqueId val="{00000007-2264-4FB6-B148-D41D2288FC74}"/>
              </c:ext>
            </c:extLst>
          </c:dPt>
          <c:dPt>
            <c:idx val="4"/>
            <c:bubble3D val="0"/>
            <c:spPr>
              <a:solidFill>
                <a:srgbClr val="FF7D67"/>
              </a:solidFill>
              <a:ln w="15875" cmpd="tri">
                <a:solidFill>
                  <a:schemeClr val="tx1"/>
                </a:solidFill>
              </a:ln>
              <a:effectLst>
                <a:outerShdw blurRad="50800" dist="63500" dir="2700000" algn="tl" rotWithShape="0">
                  <a:prstClr val="black">
                    <a:alpha val="40000"/>
                  </a:prstClr>
                </a:outerShdw>
              </a:effectLst>
            </c:spPr>
            <c:extLst>
              <c:ext xmlns:c16="http://schemas.microsoft.com/office/drawing/2014/chart" uri="{C3380CC4-5D6E-409C-BE32-E72D297353CC}">
                <c16:uniqueId val="{00000009-2264-4FB6-B148-D41D2288FC74}"/>
              </c:ext>
            </c:extLst>
          </c:dPt>
          <c:dLbls>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1-2264-4FB6-B148-D41D2288FC74}"/>
                </c:ext>
              </c:extLst>
            </c:dLbl>
            <c:dLbl>
              <c:idx val="1"/>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3-2264-4FB6-B148-D41D2288FC74}"/>
                </c:ext>
              </c:extLst>
            </c:dLbl>
            <c:dLbl>
              <c:idx val="2"/>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5-2264-4FB6-B148-D41D2288FC74}"/>
                </c:ext>
              </c:extLst>
            </c:dLbl>
            <c:dLbl>
              <c:idx val="3"/>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7-2264-4FB6-B148-D41D2288FC74}"/>
                </c:ext>
              </c:extLst>
            </c:dLbl>
            <c:dLbl>
              <c:idx val="4"/>
              <c:layout>
                <c:manualLayout>
                  <c:x val="-6.995452955578875E-2"/>
                  <c:y val="3.7433155080213901E-2"/>
                </c:manualLayout>
              </c:layout>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2264-4FB6-B148-D41D2288FC74}"/>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tx1"/>
                    </a:solidFill>
                    <a:latin typeface="+mn-lt"/>
                    <a:ea typeface="+mn-ea"/>
                    <a:cs typeface="+mn-cs"/>
                  </a:defRPr>
                </a:pPr>
                <a:endParaRPr lang="en-US"/>
              </a:p>
            </c:txPr>
            <c:dLblPos val="outEnd"/>
            <c:showLegendKey val="0"/>
            <c:showVal val="0"/>
            <c:showCatName val="1"/>
            <c:showSerName val="0"/>
            <c:showPercent val="1"/>
            <c:showBubbleSize val="0"/>
            <c:showLeaderLines val="0"/>
            <c:extLst>
              <c:ext xmlns:c15="http://schemas.microsoft.com/office/drawing/2012/chart" uri="{CE6537A1-D6FC-4f65-9D91-7224C49458BB}"/>
            </c:extLst>
          </c:dLbls>
          <c:cat>
            <c:strRef>
              <c:f>'Statistics October'!$B$34:$B$39</c:f>
              <c:strCache>
                <c:ptCount val="5"/>
                <c:pt idx="0">
                  <c:v>A</c:v>
                </c:pt>
                <c:pt idx="1">
                  <c:v>B</c:v>
                </c:pt>
                <c:pt idx="2">
                  <c:v>C</c:v>
                </c:pt>
                <c:pt idx="3">
                  <c:v>D</c:v>
                </c:pt>
                <c:pt idx="4">
                  <c:v>E</c:v>
                </c:pt>
              </c:strCache>
            </c:strRef>
          </c:cat>
          <c:val>
            <c:numRef>
              <c:f>'Statistics October'!$C$34:$C$39</c:f>
              <c:numCache>
                <c:formatCode>0</c:formatCode>
                <c:ptCount val="5"/>
                <c:pt idx="0">
                  <c:v>101</c:v>
                </c:pt>
                <c:pt idx="1">
                  <c:v>47</c:v>
                </c:pt>
                <c:pt idx="2">
                  <c:v>60</c:v>
                </c:pt>
                <c:pt idx="3">
                  <c:v>37</c:v>
                </c:pt>
                <c:pt idx="4">
                  <c:v>42</c:v>
                </c:pt>
              </c:numCache>
            </c:numRef>
          </c:val>
          <c:extLst>
            <c:ext xmlns:c16="http://schemas.microsoft.com/office/drawing/2014/chart" uri="{C3380CC4-5D6E-409C-BE32-E72D297353CC}">
              <c16:uniqueId val="{0000000A-2264-4FB6-B148-D41D2288FC74}"/>
            </c:ext>
          </c:extLst>
        </c:ser>
        <c:ser>
          <c:idx val="1"/>
          <c:order val="1"/>
          <c:tx>
            <c:strRef>
              <c:f>'Statistics October'!$D$33</c:f>
              <c:strCache>
                <c:ptCount val="1"/>
                <c:pt idx="0">
                  <c:v>% Authorities</c:v>
                </c:pt>
              </c:strCache>
            </c:strRef>
          </c:tx>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C-2264-4FB6-B148-D41D2288FC74}"/>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E-2264-4FB6-B148-D41D2288FC74}"/>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0-2264-4FB6-B148-D41D2288FC74}"/>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2-2264-4FB6-B148-D41D2288FC74}"/>
              </c:ext>
            </c:extLst>
          </c:dPt>
          <c:dPt>
            <c:idx val="4"/>
            <c:bubble3D val="0"/>
            <c:spPr>
              <a:solidFill>
                <a:schemeClr val="accent5"/>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4-2264-4FB6-B148-D41D2288FC74}"/>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0C-2264-4FB6-B148-D41D2288FC74}"/>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0E-2264-4FB6-B148-D41D2288FC74}"/>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10-2264-4FB6-B148-D41D2288FC74}"/>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12-2264-4FB6-B148-D41D2288FC74}"/>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14-2264-4FB6-B148-D41D2288FC74}"/>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'Statistics October'!$B$34:$B$39</c:f>
              <c:strCache>
                <c:ptCount val="5"/>
                <c:pt idx="0">
                  <c:v>A</c:v>
                </c:pt>
                <c:pt idx="1">
                  <c:v>B</c:v>
                </c:pt>
                <c:pt idx="2">
                  <c:v>C</c:v>
                </c:pt>
                <c:pt idx="3">
                  <c:v>D</c:v>
                </c:pt>
                <c:pt idx="4">
                  <c:v>E</c:v>
                </c:pt>
              </c:strCache>
            </c:strRef>
          </c:cat>
          <c:val>
            <c:numRef>
              <c:f>'Statistics October'!$D$34:$D$39</c:f>
              <c:numCache>
                <c:formatCode>0%</c:formatCode>
                <c:ptCount val="5"/>
                <c:pt idx="0">
                  <c:v>0.3519163763066202</c:v>
                </c:pt>
                <c:pt idx="1">
                  <c:v>0.16376306620209058</c:v>
                </c:pt>
                <c:pt idx="2">
                  <c:v>0.20905923344947736</c:v>
                </c:pt>
                <c:pt idx="3">
                  <c:v>0.1289198606271777</c:v>
                </c:pt>
                <c:pt idx="4">
                  <c:v>0.14634146341463414</c:v>
                </c:pt>
              </c:numCache>
            </c:numRef>
          </c:val>
          <c:extLst>
            <c:ext xmlns:c16="http://schemas.microsoft.com/office/drawing/2014/chart" uri="{C3380CC4-5D6E-409C-BE32-E72D297353CC}">
              <c16:uniqueId val="{00000015-2264-4FB6-B148-D41D2288FC74}"/>
            </c:ext>
          </c:extLst>
        </c:ser>
        <c:dLbls>
          <c:dLblPos val="outEnd"/>
          <c:showLegendKey val="0"/>
          <c:showVal val="1"/>
          <c:showCatName val="0"/>
          <c:showSerName val="0"/>
          <c:showPercent val="0"/>
          <c:showBubbleSize val="0"/>
          <c:showLeaderLines val="0"/>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a:outerShdw blurRad="50800" dist="127000" dir="2700000" algn="tl" rotWithShape="0">
        <a:prstClr val="black">
          <a:alpha val="40000"/>
        </a:prstClr>
      </a:outerShdw>
    </a:effectLst>
    <a:scene3d>
      <a:camera prst="orthographicFront"/>
      <a:lightRig rig="threePt" dir="t"/>
    </a:scene3d>
    <a:sp3d>
      <a:bevelT/>
    </a:sp3d>
  </c:spPr>
  <c:txPr>
    <a:bodyPr/>
    <a:lstStyle/>
    <a:p>
      <a:pPr>
        <a:defRPr/>
      </a:pPr>
      <a:endParaRPr lang="en-US"/>
    </a:p>
  </c:txPr>
  <c:externalData r:id="rId4">
    <c:autoUpdate val="0"/>
  </c:externalData>
  <c:extLst>
    <c:ext xmlns:c14="http://schemas.microsoft.com/office/drawing/2007/8/2/chart" uri="{781A3756-C4B2-4CAC-9D66-4F8BD8637D16}">
      <c14:pivotOptions>
        <c14:dropZoneFilter val="1"/>
        <c14:dropZoneData val="1"/>
        <c14:dropZoneSeries val="1"/>
      </c14:pivotOptions>
    </c:ext>
    <c:ext xmlns:c16="http://schemas.microsoft.com/office/drawing/2014/chart" uri="{E28EC0CA-F0BB-4C9C-879D-F8772B89E7AC}">
      <c16:pivotOptions16>
        <c16:showExpandCollapseFieldButtons val="1"/>
      </c16:pivotOptions16>
    </c:ext>
  </c:extLst>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0"/>
          <a:lstStyle/>
          <a:p>
            <a:pPr>
              <a:defRPr sz="1200" b="0" i="0" u="none" strike="noStrike" kern="1200" spc="0" baseline="0">
                <a:solidFill>
                  <a:schemeClr val="tx1">
                    <a:lumMod val="65000"/>
                    <a:lumOff val="35000"/>
                  </a:schemeClr>
                </a:solidFill>
                <a:latin typeface="+mn-lt"/>
                <a:ea typeface="+mn-ea"/>
                <a:cs typeface="+mn-cs"/>
              </a:defRPr>
            </a:pPr>
            <a:r>
              <a:rPr lang="en-US" sz="1200" b="1" i="0" baseline="0">
                <a:effectLst/>
              </a:rPr>
              <a:t>GB Taxi Licensing authorities: </a:t>
            </a:r>
            <a:endParaRPr lang="en-GB" sz="1200">
              <a:effectLst/>
            </a:endParaRPr>
          </a:p>
          <a:p>
            <a:pPr>
              <a:defRPr sz="1200"/>
            </a:pPr>
            <a:r>
              <a:rPr lang="en-US" sz="1200" b="1" i="0" baseline="0">
                <a:effectLst/>
              </a:rPr>
              <a:t>Change in S167 Grade</a:t>
            </a:r>
            <a:endParaRPr lang="en-GB" sz="1200">
              <a:effectLst/>
            </a:endParaRPr>
          </a:p>
        </c:rich>
      </c:tx>
      <c:layout>
        <c:manualLayout>
          <c:xMode val="edge"/>
          <c:yMode val="edge"/>
          <c:x val="0.13339289248463393"/>
          <c:y val="2.7409453329504336E-3"/>
        </c:manualLayout>
      </c:layout>
      <c:overlay val="0"/>
      <c:spPr>
        <a:solidFill>
          <a:schemeClr val="bg1"/>
        </a:solidFill>
        <a:ln>
          <a:solidFill>
            <a:srgbClr val="000000"/>
          </a:solidFill>
        </a:ln>
        <a:effectLst/>
      </c:spPr>
      <c:txPr>
        <a:bodyPr rot="0" spcFirstLastPara="1" vertOverflow="ellipsis" vert="horz" wrap="square" anchor="ctr" anchorCtr="0"/>
        <a:lstStyle/>
        <a:p>
          <a:pPr>
            <a:defRPr sz="1200" b="0" i="0" u="none" strike="noStrike" kern="1200" spc="0" baseline="0">
              <a:solidFill>
                <a:schemeClr val="tx1">
                  <a:lumMod val="65000"/>
                  <a:lumOff val="35000"/>
                </a:schemeClr>
              </a:solidFill>
              <a:latin typeface="+mn-lt"/>
              <a:ea typeface="+mn-ea"/>
              <a:cs typeface="+mn-cs"/>
            </a:defRPr>
          </a:pPr>
          <a:endParaRPr lang="en-US"/>
        </a:p>
      </c:txPr>
    </c:title>
    <c:autoTitleDeleted val="0"/>
    <c:pivotFmts>
      <c:pivotFmt>
        <c:idx val="0"/>
        <c:spPr>
          <a:solidFill>
            <a:schemeClr val="accent1"/>
          </a:solidFill>
          <a:ln>
            <a:noFill/>
          </a:ln>
          <a:effectLst/>
        </c:spPr>
        <c:marker>
          <c:symbol val="none"/>
        </c:marker>
      </c:pivotFmt>
      <c:pivotFmt>
        <c:idx val="1"/>
        <c:spPr>
          <a:solidFill>
            <a:schemeClr val="accent1"/>
          </a:solidFill>
          <a:ln>
            <a:noFill/>
          </a:ln>
          <a:effectLst/>
        </c:spPr>
        <c:marker>
          <c:symbol val="none"/>
        </c:marker>
      </c:pivotFmt>
      <c:pivotFmt>
        <c:idx val="2"/>
        <c:spPr>
          <a:solidFill>
            <a:schemeClr val="accent1"/>
          </a:solidFill>
          <a:ln>
            <a:noFill/>
          </a:ln>
          <a:effectLst/>
        </c:spPr>
        <c:marker>
          <c:symbol val="none"/>
        </c:marker>
      </c:pivotFmt>
      <c:pivotFmt>
        <c:idx val="3"/>
        <c:spPr>
          <a:solidFill>
            <a:schemeClr val="accent1"/>
          </a:solidFill>
          <a:ln>
            <a:noFill/>
          </a:ln>
          <a:effectLst/>
        </c:spPr>
        <c:marker>
          <c:symbol val="none"/>
        </c:marker>
      </c:pivotFmt>
      <c:pivotFmt>
        <c:idx val="4"/>
        <c:spPr>
          <a:solidFill>
            <a:schemeClr val="accent1"/>
          </a:solidFill>
          <a:ln>
            <a:noFill/>
          </a:ln>
          <a:effectLst/>
        </c:spPr>
        <c:marker>
          <c:symbol val="none"/>
        </c:marker>
      </c:pivotFmt>
      <c:pivotFmt>
        <c:idx val="5"/>
        <c:spPr>
          <a:solidFill>
            <a:srgbClr val="7DB17A"/>
          </a:solidFill>
          <a:ln>
            <a:noFill/>
          </a:ln>
          <a:effectLst>
            <a:softEdge rad="50800"/>
          </a:effectLst>
          <a:scene3d>
            <a:camera prst="orthographicFront"/>
            <a:lightRig rig="threePt" dir="t"/>
          </a:scene3d>
          <a:sp3d>
            <a:bevelT/>
          </a:sp3d>
        </c:spPr>
        <c:marker>
          <c:symbol val="none"/>
        </c:marker>
        <c:dLbl>
          <c:idx val="0"/>
          <c:spPr>
            <a:noFill/>
            <a:ln>
              <a:noFill/>
            </a:ln>
            <a:effectLst/>
          </c:spPr>
          <c:txPr>
            <a:bodyPr rot="0" spcFirstLastPara="1" vertOverflow="overflow" horzOverflow="overflow" vert="horz" wrap="square" lIns="38100" tIns="19050" rIns="38100" bIns="19050" anchor="t" anchorCtr="1">
              <a:spAutoFit/>
            </a:bodyPr>
            <a:lstStyle/>
            <a:p>
              <a:pPr>
                <a:defRPr sz="1400" b="1" i="0" u="none" strike="noStrike" kern="1200" baseline="0">
                  <a:ln>
                    <a:noFill/>
                  </a:ln>
                  <a:solidFill>
                    <a:schemeClr val="tx1">
                      <a:lumMod val="75000"/>
                      <a:lumOff val="25000"/>
                    </a:schemeClr>
                  </a:solidFill>
                  <a:latin typeface="+mn-lt"/>
                  <a:ea typeface="+mn-ea"/>
                  <a:cs typeface="+mn-cs"/>
                </a:defRPr>
              </a:pPr>
              <a:endParaRPr lang="en-US"/>
            </a:p>
          </c:txPr>
          <c:dLblPos val="inEnd"/>
          <c:showLegendKey val="0"/>
          <c:showVal val="0"/>
          <c:showCatName val="0"/>
          <c:showSerName val="1"/>
          <c:showPercent val="0"/>
          <c:showBubbleSize val="0"/>
          <c:extLst>
            <c:ext xmlns:c15="http://schemas.microsoft.com/office/drawing/2012/chart" uri="{CE6537A1-D6FC-4f65-9D91-7224C49458BB}"/>
          </c:extLst>
        </c:dLbl>
      </c:pivotFmt>
      <c:pivotFmt>
        <c:idx val="6"/>
        <c:spPr>
          <a:solidFill>
            <a:srgbClr val="C1FFC1"/>
          </a:solidFill>
          <a:ln>
            <a:noFill/>
          </a:ln>
          <a:effectLst/>
          <a:scene3d>
            <a:camera prst="orthographicFront"/>
            <a:lightRig rig="threePt" dir="t"/>
          </a:scene3d>
          <a:sp3d>
            <a:bevel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mn-lt"/>
                  <a:ea typeface="+mn-ea"/>
                  <a:cs typeface="+mn-cs"/>
                </a:defRPr>
              </a:pPr>
              <a:endParaRPr lang="en-US"/>
            </a:p>
          </c:txPr>
          <c:dLblPos val="inEnd"/>
          <c:showLegendKey val="0"/>
          <c:showVal val="0"/>
          <c:showCatName val="0"/>
          <c:showSerName val="1"/>
          <c:showPercent val="0"/>
          <c:showBubbleSize val="0"/>
          <c:extLst>
            <c:ext xmlns:c15="http://schemas.microsoft.com/office/drawing/2012/chart" uri="{CE6537A1-D6FC-4f65-9D91-7224C49458BB}"/>
          </c:extLst>
        </c:dLbl>
      </c:pivotFmt>
      <c:pivotFmt>
        <c:idx val="7"/>
        <c:spPr>
          <a:solidFill>
            <a:srgbClr val="FFFF66"/>
          </a:solidFill>
          <a:ln>
            <a:noFill/>
          </a:ln>
          <a:effectLst/>
          <a:scene3d>
            <a:camera prst="orthographicFront"/>
            <a:lightRig rig="threePt" dir="t"/>
          </a:scene3d>
          <a:sp3d>
            <a:bevel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mn-lt"/>
                  <a:ea typeface="+mn-ea"/>
                  <a:cs typeface="+mn-cs"/>
                </a:defRPr>
              </a:pPr>
              <a:endParaRPr lang="en-US"/>
            </a:p>
          </c:txPr>
          <c:dLblPos val="inEnd"/>
          <c:showLegendKey val="0"/>
          <c:showVal val="0"/>
          <c:showCatName val="0"/>
          <c:showSerName val="1"/>
          <c:showPercent val="0"/>
          <c:showBubbleSize val="0"/>
          <c:extLst>
            <c:ext xmlns:c15="http://schemas.microsoft.com/office/drawing/2012/chart" uri="{CE6537A1-D6FC-4f65-9D91-7224C49458BB}"/>
          </c:extLst>
        </c:dLbl>
      </c:pivotFmt>
      <c:pivotFmt>
        <c:idx val="8"/>
        <c:spPr>
          <a:solidFill>
            <a:srgbClr val="FFC267"/>
          </a:solidFill>
          <a:ln>
            <a:noFill/>
          </a:ln>
          <a:effectLst/>
          <a:scene3d>
            <a:camera prst="orthographicFront"/>
            <a:lightRig rig="threePt" dir="t"/>
          </a:scene3d>
          <a:sp3d>
            <a:bevel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mn-lt"/>
                  <a:ea typeface="+mn-ea"/>
                  <a:cs typeface="+mn-cs"/>
                </a:defRPr>
              </a:pPr>
              <a:endParaRPr lang="en-US"/>
            </a:p>
          </c:txPr>
          <c:dLblPos val="inEnd"/>
          <c:showLegendKey val="0"/>
          <c:showVal val="0"/>
          <c:showCatName val="0"/>
          <c:showSerName val="1"/>
          <c:showPercent val="0"/>
          <c:showBubbleSize val="0"/>
          <c:extLst>
            <c:ext xmlns:c15="http://schemas.microsoft.com/office/drawing/2012/chart" uri="{CE6537A1-D6FC-4f65-9D91-7224C49458BB}"/>
          </c:extLst>
        </c:dLbl>
      </c:pivotFmt>
      <c:pivotFmt>
        <c:idx val="9"/>
        <c:spPr>
          <a:solidFill>
            <a:srgbClr val="FF7D67"/>
          </a:solidFill>
          <a:ln>
            <a:noFill/>
          </a:ln>
          <a:effectLst/>
          <a:scene3d>
            <a:camera prst="orthographicFront"/>
            <a:lightRig rig="threePt" dir="t"/>
          </a:scene3d>
          <a:sp3d>
            <a:bevel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mn-lt"/>
                  <a:ea typeface="+mn-ea"/>
                  <a:cs typeface="+mn-cs"/>
                </a:defRPr>
              </a:pPr>
              <a:endParaRPr lang="en-US"/>
            </a:p>
          </c:txPr>
          <c:dLblPos val="inEnd"/>
          <c:showLegendKey val="0"/>
          <c:showVal val="0"/>
          <c:showCatName val="0"/>
          <c:showSerName val="1"/>
          <c:showPercent val="0"/>
          <c:showBubbleSize val="0"/>
          <c:extLst>
            <c:ext xmlns:c15="http://schemas.microsoft.com/office/drawing/2012/chart" uri="{CE6537A1-D6FC-4f65-9D91-7224C49458BB}"/>
          </c:extLst>
        </c:dLbl>
      </c:pivotFmt>
      <c:pivotFmt>
        <c:idx val="10"/>
        <c:spPr>
          <a:solidFill>
            <a:srgbClr val="7DB17A"/>
          </a:solidFill>
          <a:ln>
            <a:noFill/>
          </a:ln>
          <a:effectLst>
            <a:softEdge rad="50800"/>
          </a:effectLst>
          <a:scene3d>
            <a:camera prst="orthographicFront"/>
            <a:lightRig rig="threePt" dir="t"/>
          </a:scene3d>
          <a:sp3d>
            <a:bevelT/>
          </a:sp3d>
        </c:spPr>
      </c:pivotFmt>
      <c:pivotFmt>
        <c:idx val="11"/>
        <c:spPr>
          <a:solidFill>
            <a:srgbClr val="7DB17A"/>
          </a:solidFill>
          <a:ln>
            <a:noFill/>
          </a:ln>
          <a:effectLst>
            <a:softEdge rad="50800"/>
          </a:effectLst>
          <a:scene3d>
            <a:camera prst="orthographicFront"/>
            <a:lightRig rig="threePt" dir="t"/>
          </a:scene3d>
          <a:sp3d>
            <a:bevelT/>
          </a:sp3d>
        </c:spPr>
      </c:pivotFmt>
      <c:pivotFmt>
        <c:idx val="12"/>
        <c:spPr>
          <a:solidFill>
            <a:srgbClr val="7DB17A"/>
          </a:solidFill>
          <a:ln>
            <a:noFill/>
          </a:ln>
          <a:effectLst>
            <a:softEdge rad="50800"/>
          </a:effectLst>
          <a:scene3d>
            <a:camera prst="orthographicFront"/>
            <a:lightRig rig="threePt" dir="t"/>
          </a:scene3d>
          <a:sp3d>
            <a:bevelT/>
          </a:sp3d>
        </c:spPr>
      </c:pivotFmt>
      <c:pivotFmt>
        <c:idx val="13"/>
        <c:spPr>
          <a:solidFill>
            <a:srgbClr val="7DB17A"/>
          </a:solidFill>
          <a:ln>
            <a:noFill/>
          </a:ln>
          <a:effectLst>
            <a:softEdge rad="50800"/>
          </a:effectLst>
          <a:scene3d>
            <a:camera prst="orthographicFront"/>
            <a:lightRig rig="threePt" dir="t"/>
          </a:scene3d>
          <a:sp3d>
            <a:bevelT/>
          </a:sp3d>
        </c:spPr>
      </c:pivotFmt>
      <c:pivotFmt>
        <c:idx val="14"/>
        <c:spPr>
          <a:solidFill>
            <a:srgbClr val="7DB17A"/>
          </a:solidFill>
          <a:ln>
            <a:noFill/>
          </a:ln>
          <a:effectLst>
            <a:softEdge rad="50800"/>
          </a:effectLst>
          <a:scene3d>
            <a:camera prst="orthographicFront"/>
            <a:lightRig rig="threePt" dir="t"/>
          </a:scene3d>
          <a:sp3d>
            <a:bevelT/>
          </a:sp3d>
        </c:spPr>
      </c:pivotFmt>
      <c:pivotFmt>
        <c:idx val="15"/>
        <c:spPr>
          <a:solidFill>
            <a:srgbClr val="7DB17A"/>
          </a:solidFill>
          <a:ln>
            <a:noFill/>
          </a:ln>
          <a:effectLst>
            <a:softEdge rad="50800"/>
          </a:effectLst>
          <a:scene3d>
            <a:camera prst="orthographicFront"/>
            <a:lightRig rig="threePt" dir="t"/>
          </a:scene3d>
          <a:sp3d>
            <a:bevelT/>
          </a:sp3d>
        </c:spPr>
      </c:pivotFmt>
      <c:pivotFmt>
        <c:idx val="16"/>
        <c:spPr>
          <a:solidFill>
            <a:srgbClr val="7DB17A"/>
          </a:solidFill>
          <a:ln>
            <a:noFill/>
          </a:ln>
          <a:effectLst>
            <a:outerShdw blurRad="50800" dist="38100" dir="2700000" algn="tl" rotWithShape="0">
              <a:prstClr val="black">
                <a:alpha val="40000"/>
              </a:prstClr>
            </a:outerShdw>
          </a:effectLst>
          <a:scene3d>
            <a:camera prst="orthographicFront"/>
            <a:lightRig rig="threePt" dir="t"/>
          </a:scene3d>
          <a:sp3d>
            <a:bevelT h="19050"/>
          </a:sp3d>
        </c:spPr>
        <c:marker>
          <c:symbol val="none"/>
        </c:marker>
        <c:dLbl>
          <c:idx val="0"/>
          <c:spPr>
            <a:noFill/>
            <a:ln>
              <a:noFill/>
            </a:ln>
            <a:effectLst/>
          </c:spPr>
          <c:txPr>
            <a:bodyPr rot="0" spcFirstLastPara="1" vertOverflow="overflow" horzOverflow="overflow" vert="horz" wrap="square" lIns="38100" tIns="19050" rIns="38100" bIns="19050" anchor="t" anchorCtr="1">
              <a:spAutoFit/>
            </a:bodyPr>
            <a:lstStyle/>
            <a:p>
              <a:pPr>
                <a:defRPr sz="1400" b="1" i="0" u="none" strike="noStrike" kern="1200" baseline="0">
                  <a:ln>
                    <a:noFill/>
                  </a:ln>
                  <a:solidFill>
                    <a:schemeClr val="tx1">
                      <a:lumMod val="75000"/>
                      <a:lumOff val="25000"/>
                    </a:schemeClr>
                  </a:solidFill>
                  <a:latin typeface="+mn-lt"/>
                  <a:ea typeface="+mn-ea"/>
                  <a:cs typeface="+mn-cs"/>
                </a:defRPr>
              </a:pPr>
              <a:endParaRPr lang="en-US"/>
            </a:p>
          </c:txPr>
          <c:dLblPos val="inEnd"/>
          <c:showLegendKey val="0"/>
          <c:showVal val="0"/>
          <c:showCatName val="0"/>
          <c:showSerName val="1"/>
          <c:showPercent val="0"/>
          <c:showBubbleSize val="0"/>
          <c:extLst>
            <c:ext xmlns:c15="http://schemas.microsoft.com/office/drawing/2012/chart" uri="{CE6537A1-D6FC-4f65-9D91-7224C49458BB}"/>
          </c:extLst>
        </c:dLbl>
      </c:pivotFmt>
      <c:pivotFmt>
        <c:idx val="17"/>
        <c:spPr>
          <a:solidFill>
            <a:srgbClr val="C1FFC1"/>
          </a:solidFill>
          <a:ln>
            <a:noFill/>
          </a:ln>
          <a:effectLst>
            <a:outerShdw blurRad="50800" dist="38100" dir="2700000" algn="tl" rotWithShape="0">
              <a:prstClr val="black">
                <a:alpha val="40000"/>
              </a:prstClr>
            </a:outerShdw>
          </a:effectLst>
          <a:scene3d>
            <a:camera prst="orthographicFront"/>
            <a:lightRig rig="threePt" dir="t"/>
          </a:scene3d>
          <a:sp3d>
            <a:bevelT h="1905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mn-lt"/>
                  <a:ea typeface="+mn-ea"/>
                  <a:cs typeface="+mn-cs"/>
                </a:defRPr>
              </a:pPr>
              <a:endParaRPr lang="en-US"/>
            </a:p>
          </c:txPr>
          <c:dLblPos val="inEnd"/>
          <c:showLegendKey val="0"/>
          <c:showVal val="0"/>
          <c:showCatName val="0"/>
          <c:showSerName val="1"/>
          <c:showPercent val="0"/>
          <c:showBubbleSize val="0"/>
          <c:extLst>
            <c:ext xmlns:c15="http://schemas.microsoft.com/office/drawing/2012/chart" uri="{CE6537A1-D6FC-4f65-9D91-7224C49458BB}"/>
          </c:extLst>
        </c:dLbl>
      </c:pivotFmt>
      <c:pivotFmt>
        <c:idx val="18"/>
        <c:spPr>
          <a:solidFill>
            <a:srgbClr val="FFFF66"/>
          </a:solidFill>
          <a:ln>
            <a:noFill/>
          </a:ln>
          <a:effectLst>
            <a:outerShdw blurRad="50800" dist="38100" dir="2700000" algn="tl" rotWithShape="0">
              <a:prstClr val="black">
                <a:alpha val="40000"/>
              </a:prstClr>
            </a:outerShdw>
          </a:effectLst>
          <a:scene3d>
            <a:camera prst="orthographicFront"/>
            <a:lightRig rig="threePt" dir="t"/>
          </a:scene3d>
          <a:sp3d>
            <a:bevelT h="1905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mn-lt"/>
                  <a:ea typeface="+mn-ea"/>
                  <a:cs typeface="+mn-cs"/>
                </a:defRPr>
              </a:pPr>
              <a:endParaRPr lang="en-US"/>
            </a:p>
          </c:txPr>
          <c:dLblPos val="inEnd"/>
          <c:showLegendKey val="0"/>
          <c:showVal val="0"/>
          <c:showCatName val="0"/>
          <c:showSerName val="1"/>
          <c:showPercent val="0"/>
          <c:showBubbleSize val="0"/>
          <c:extLst>
            <c:ext xmlns:c15="http://schemas.microsoft.com/office/drawing/2012/chart" uri="{CE6537A1-D6FC-4f65-9D91-7224C49458BB}"/>
          </c:extLst>
        </c:dLbl>
      </c:pivotFmt>
      <c:pivotFmt>
        <c:idx val="19"/>
        <c:spPr>
          <a:solidFill>
            <a:srgbClr val="FFC267"/>
          </a:solidFill>
          <a:ln>
            <a:noFill/>
          </a:ln>
          <a:effectLst>
            <a:outerShdw blurRad="50800" dist="38100" dir="2700000" algn="tl" rotWithShape="0">
              <a:prstClr val="black">
                <a:alpha val="40000"/>
              </a:prstClr>
            </a:outerShdw>
          </a:effectLst>
          <a:scene3d>
            <a:camera prst="orthographicFront"/>
            <a:lightRig rig="threePt" dir="t"/>
          </a:scene3d>
          <a:sp3d>
            <a:bevelT h="1905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mn-lt"/>
                  <a:ea typeface="+mn-ea"/>
                  <a:cs typeface="+mn-cs"/>
                </a:defRPr>
              </a:pPr>
              <a:endParaRPr lang="en-US"/>
            </a:p>
          </c:txPr>
          <c:dLblPos val="inEnd"/>
          <c:showLegendKey val="0"/>
          <c:showVal val="0"/>
          <c:showCatName val="0"/>
          <c:showSerName val="1"/>
          <c:showPercent val="0"/>
          <c:showBubbleSize val="0"/>
          <c:extLst>
            <c:ext xmlns:c15="http://schemas.microsoft.com/office/drawing/2012/chart" uri="{CE6537A1-D6FC-4f65-9D91-7224C49458BB}"/>
          </c:extLst>
        </c:dLbl>
      </c:pivotFmt>
      <c:pivotFmt>
        <c:idx val="20"/>
        <c:spPr>
          <a:solidFill>
            <a:srgbClr val="FF7D67"/>
          </a:solidFill>
          <a:ln>
            <a:noFill/>
          </a:ln>
          <a:effectLst>
            <a:outerShdw blurRad="50800" dist="38100" dir="2700000" algn="tl" rotWithShape="0">
              <a:prstClr val="black">
                <a:alpha val="40000"/>
              </a:prstClr>
            </a:outerShdw>
          </a:effectLst>
          <a:scene3d>
            <a:camera prst="orthographicFront"/>
            <a:lightRig rig="threePt" dir="t"/>
          </a:scene3d>
          <a:sp3d>
            <a:bevelT h="1905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mn-lt"/>
                  <a:ea typeface="+mn-ea"/>
                  <a:cs typeface="+mn-cs"/>
                </a:defRPr>
              </a:pPr>
              <a:endParaRPr lang="en-US"/>
            </a:p>
          </c:txPr>
          <c:dLblPos val="inEnd"/>
          <c:showLegendKey val="0"/>
          <c:showVal val="0"/>
          <c:showCatName val="0"/>
          <c:showSerName val="1"/>
          <c:showPercent val="0"/>
          <c:showBubbleSize val="0"/>
          <c:extLst>
            <c:ext xmlns:c15="http://schemas.microsoft.com/office/drawing/2012/chart" uri="{CE6537A1-D6FC-4f65-9D91-7224C49458BB}"/>
          </c:extLst>
        </c:dLbl>
      </c:pivotFmt>
      <c:pivotFmt>
        <c:idx val="21"/>
        <c:spPr>
          <a:solidFill>
            <a:srgbClr val="7DB17A"/>
          </a:solidFill>
          <a:ln>
            <a:noFill/>
          </a:ln>
          <a:effectLst>
            <a:outerShdw blurRad="50800" dist="38100" dir="2700000" algn="tl" rotWithShape="0">
              <a:prstClr val="black">
                <a:alpha val="40000"/>
              </a:prstClr>
            </a:outerShdw>
          </a:effectLst>
          <a:scene3d>
            <a:camera prst="orthographicFront"/>
            <a:lightRig rig="threePt" dir="t"/>
          </a:scene3d>
          <a:sp3d>
            <a:bevelT h="19050"/>
          </a:sp3d>
        </c:spPr>
        <c:marker>
          <c:symbol val="none"/>
        </c:marker>
        <c:dLbl>
          <c:idx val="0"/>
          <c:spPr>
            <a:noFill/>
            <a:ln>
              <a:noFill/>
            </a:ln>
            <a:effectLst/>
          </c:spPr>
          <c:txPr>
            <a:bodyPr rot="0" spcFirstLastPara="1" vertOverflow="overflow" horzOverflow="overflow" vert="horz" wrap="square" lIns="38100" tIns="19050" rIns="38100" bIns="19050" anchor="t" anchorCtr="1">
              <a:spAutoFit/>
            </a:bodyPr>
            <a:lstStyle/>
            <a:p>
              <a:pPr>
                <a:defRPr sz="1400" b="1" i="0" u="none" strike="noStrike" kern="1200" baseline="0">
                  <a:ln>
                    <a:noFill/>
                  </a:ln>
                  <a:solidFill>
                    <a:schemeClr val="tx1">
                      <a:lumMod val="75000"/>
                      <a:lumOff val="25000"/>
                    </a:schemeClr>
                  </a:solidFill>
                  <a:latin typeface="+mn-lt"/>
                  <a:ea typeface="+mn-ea"/>
                  <a:cs typeface="+mn-cs"/>
                </a:defRPr>
              </a:pPr>
              <a:endParaRPr lang="en-US"/>
            </a:p>
          </c:txPr>
          <c:dLblPos val="inEnd"/>
          <c:showLegendKey val="0"/>
          <c:showVal val="0"/>
          <c:showCatName val="0"/>
          <c:showSerName val="1"/>
          <c:showPercent val="0"/>
          <c:showBubbleSize val="0"/>
          <c:extLst>
            <c:ext xmlns:c15="http://schemas.microsoft.com/office/drawing/2012/chart" uri="{CE6537A1-D6FC-4f65-9D91-7224C49458BB}"/>
          </c:extLst>
        </c:dLbl>
      </c:pivotFmt>
      <c:pivotFmt>
        <c:idx val="22"/>
        <c:spPr>
          <a:solidFill>
            <a:srgbClr val="C1FFC1"/>
          </a:solidFill>
          <a:ln>
            <a:noFill/>
          </a:ln>
          <a:effectLst>
            <a:outerShdw blurRad="50800" dist="38100" dir="2700000" algn="tl" rotWithShape="0">
              <a:prstClr val="black">
                <a:alpha val="40000"/>
              </a:prstClr>
            </a:outerShdw>
          </a:effectLst>
          <a:scene3d>
            <a:camera prst="orthographicFront"/>
            <a:lightRig rig="threePt" dir="t"/>
          </a:scene3d>
          <a:sp3d>
            <a:bevelT h="1905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mn-lt"/>
                  <a:ea typeface="+mn-ea"/>
                  <a:cs typeface="+mn-cs"/>
                </a:defRPr>
              </a:pPr>
              <a:endParaRPr lang="en-US"/>
            </a:p>
          </c:txPr>
          <c:dLblPos val="inEnd"/>
          <c:showLegendKey val="0"/>
          <c:showVal val="0"/>
          <c:showCatName val="0"/>
          <c:showSerName val="1"/>
          <c:showPercent val="0"/>
          <c:showBubbleSize val="0"/>
          <c:extLst>
            <c:ext xmlns:c15="http://schemas.microsoft.com/office/drawing/2012/chart" uri="{CE6537A1-D6FC-4f65-9D91-7224C49458BB}"/>
          </c:extLst>
        </c:dLbl>
      </c:pivotFmt>
      <c:pivotFmt>
        <c:idx val="23"/>
        <c:spPr>
          <a:solidFill>
            <a:srgbClr val="FFFF66"/>
          </a:solidFill>
          <a:ln>
            <a:noFill/>
          </a:ln>
          <a:effectLst>
            <a:outerShdw blurRad="50800" dist="38100" dir="2700000" algn="tl" rotWithShape="0">
              <a:prstClr val="black">
                <a:alpha val="40000"/>
              </a:prstClr>
            </a:outerShdw>
          </a:effectLst>
          <a:scene3d>
            <a:camera prst="orthographicFront"/>
            <a:lightRig rig="threePt" dir="t"/>
          </a:scene3d>
          <a:sp3d>
            <a:bevelT h="1905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mn-lt"/>
                  <a:ea typeface="+mn-ea"/>
                  <a:cs typeface="+mn-cs"/>
                </a:defRPr>
              </a:pPr>
              <a:endParaRPr lang="en-US"/>
            </a:p>
          </c:txPr>
          <c:dLblPos val="inEnd"/>
          <c:showLegendKey val="0"/>
          <c:showVal val="0"/>
          <c:showCatName val="0"/>
          <c:showSerName val="1"/>
          <c:showPercent val="0"/>
          <c:showBubbleSize val="0"/>
          <c:extLst>
            <c:ext xmlns:c15="http://schemas.microsoft.com/office/drawing/2012/chart" uri="{CE6537A1-D6FC-4f65-9D91-7224C49458BB}"/>
          </c:extLst>
        </c:dLbl>
      </c:pivotFmt>
      <c:pivotFmt>
        <c:idx val="24"/>
        <c:spPr>
          <a:solidFill>
            <a:srgbClr val="FFC267"/>
          </a:solidFill>
          <a:ln>
            <a:noFill/>
          </a:ln>
          <a:effectLst>
            <a:outerShdw blurRad="50800" dist="38100" dir="2700000" algn="tl" rotWithShape="0">
              <a:prstClr val="black">
                <a:alpha val="40000"/>
              </a:prstClr>
            </a:outerShdw>
          </a:effectLst>
          <a:scene3d>
            <a:camera prst="orthographicFront"/>
            <a:lightRig rig="threePt" dir="t"/>
          </a:scene3d>
          <a:sp3d>
            <a:bevelT h="1905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mn-lt"/>
                  <a:ea typeface="+mn-ea"/>
                  <a:cs typeface="+mn-cs"/>
                </a:defRPr>
              </a:pPr>
              <a:endParaRPr lang="en-US"/>
            </a:p>
          </c:txPr>
          <c:dLblPos val="inEnd"/>
          <c:showLegendKey val="0"/>
          <c:showVal val="0"/>
          <c:showCatName val="0"/>
          <c:showSerName val="1"/>
          <c:showPercent val="0"/>
          <c:showBubbleSize val="0"/>
          <c:extLst>
            <c:ext xmlns:c15="http://schemas.microsoft.com/office/drawing/2012/chart" uri="{CE6537A1-D6FC-4f65-9D91-7224C49458BB}"/>
          </c:extLst>
        </c:dLbl>
      </c:pivotFmt>
      <c:pivotFmt>
        <c:idx val="25"/>
        <c:spPr>
          <a:solidFill>
            <a:srgbClr val="FF7D67"/>
          </a:solidFill>
          <a:ln>
            <a:noFill/>
          </a:ln>
          <a:effectLst>
            <a:outerShdw blurRad="50800" dist="38100" dir="2700000" algn="tl" rotWithShape="0">
              <a:prstClr val="black">
                <a:alpha val="40000"/>
              </a:prstClr>
            </a:outerShdw>
          </a:effectLst>
          <a:scene3d>
            <a:camera prst="orthographicFront"/>
            <a:lightRig rig="threePt" dir="t"/>
          </a:scene3d>
          <a:sp3d>
            <a:bevelT h="1905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mn-lt"/>
                  <a:ea typeface="+mn-ea"/>
                  <a:cs typeface="+mn-cs"/>
                </a:defRPr>
              </a:pPr>
              <a:endParaRPr lang="en-US"/>
            </a:p>
          </c:txPr>
          <c:dLblPos val="inEnd"/>
          <c:showLegendKey val="0"/>
          <c:showVal val="0"/>
          <c:showCatName val="0"/>
          <c:showSerName val="1"/>
          <c:showPercent val="0"/>
          <c:showBubbleSize val="0"/>
          <c:extLst>
            <c:ext xmlns:c15="http://schemas.microsoft.com/office/drawing/2012/chart" uri="{CE6537A1-D6FC-4f65-9D91-7224C49458BB}"/>
          </c:extLst>
        </c:dLbl>
      </c:pivotFmt>
      <c:pivotFmt>
        <c:idx val="26"/>
        <c:spPr>
          <a:solidFill>
            <a:srgbClr val="7DB17A"/>
          </a:solidFill>
          <a:ln>
            <a:noFill/>
          </a:ln>
          <a:effectLst>
            <a:outerShdw blurRad="50800" dist="38100" dir="2700000" algn="tl" rotWithShape="0">
              <a:prstClr val="black">
                <a:alpha val="40000"/>
              </a:prstClr>
            </a:outerShdw>
          </a:effectLst>
          <a:scene3d>
            <a:camera prst="orthographicFront"/>
            <a:lightRig rig="threePt" dir="t"/>
          </a:scene3d>
          <a:sp3d>
            <a:bevelT h="19050"/>
          </a:sp3d>
        </c:spPr>
        <c:marker>
          <c:symbol val="none"/>
        </c:marker>
        <c:dLbl>
          <c:idx val="0"/>
          <c:spPr>
            <a:noFill/>
            <a:ln>
              <a:noFill/>
            </a:ln>
            <a:effectLst/>
          </c:spPr>
          <c:txPr>
            <a:bodyPr rot="0" spcFirstLastPara="1" vertOverflow="overflow" horzOverflow="overflow" vert="horz" wrap="square" lIns="38100" tIns="19050" rIns="38100" bIns="19050" anchor="t" anchorCtr="1">
              <a:spAutoFit/>
            </a:bodyPr>
            <a:lstStyle/>
            <a:p>
              <a:pPr>
                <a:defRPr sz="1400" b="1" i="0" u="none" strike="noStrike" kern="1200" baseline="0">
                  <a:ln>
                    <a:noFill/>
                  </a:ln>
                  <a:solidFill>
                    <a:schemeClr val="tx1">
                      <a:lumMod val="75000"/>
                      <a:lumOff val="25000"/>
                    </a:schemeClr>
                  </a:solidFill>
                  <a:latin typeface="+mn-lt"/>
                  <a:ea typeface="+mn-ea"/>
                  <a:cs typeface="+mn-cs"/>
                </a:defRPr>
              </a:pPr>
              <a:endParaRPr lang="en-US"/>
            </a:p>
          </c:txPr>
          <c:dLblPos val="inEnd"/>
          <c:showLegendKey val="0"/>
          <c:showVal val="0"/>
          <c:showCatName val="0"/>
          <c:showSerName val="1"/>
          <c:showPercent val="0"/>
          <c:showBubbleSize val="0"/>
          <c:extLst>
            <c:ext xmlns:c15="http://schemas.microsoft.com/office/drawing/2012/chart" uri="{CE6537A1-D6FC-4f65-9D91-7224C49458BB}"/>
          </c:extLst>
        </c:dLbl>
      </c:pivotFmt>
      <c:pivotFmt>
        <c:idx val="27"/>
        <c:spPr>
          <a:solidFill>
            <a:srgbClr val="C1FFC1"/>
          </a:solidFill>
          <a:ln>
            <a:noFill/>
          </a:ln>
          <a:effectLst>
            <a:outerShdw blurRad="50800" dist="38100" dir="2700000" algn="tl" rotWithShape="0">
              <a:prstClr val="black">
                <a:alpha val="40000"/>
              </a:prstClr>
            </a:outerShdw>
          </a:effectLst>
          <a:scene3d>
            <a:camera prst="orthographicFront"/>
            <a:lightRig rig="threePt" dir="t"/>
          </a:scene3d>
          <a:sp3d>
            <a:bevelT h="1905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mn-lt"/>
                  <a:ea typeface="+mn-ea"/>
                  <a:cs typeface="+mn-cs"/>
                </a:defRPr>
              </a:pPr>
              <a:endParaRPr lang="en-US"/>
            </a:p>
          </c:txPr>
          <c:dLblPos val="inEnd"/>
          <c:showLegendKey val="0"/>
          <c:showVal val="0"/>
          <c:showCatName val="0"/>
          <c:showSerName val="1"/>
          <c:showPercent val="0"/>
          <c:showBubbleSize val="0"/>
          <c:extLst>
            <c:ext xmlns:c15="http://schemas.microsoft.com/office/drawing/2012/chart" uri="{CE6537A1-D6FC-4f65-9D91-7224C49458BB}"/>
          </c:extLst>
        </c:dLbl>
      </c:pivotFmt>
      <c:pivotFmt>
        <c:idx val="28"/>
        <c:spPr>
          <a:solidFill>
            <a:srgbClr val="FFFF66"/>
          </a:solidFill>
          <a:ln>
            <a:noFill/>
          </a:ln>
          <a:effectLst>
            <a:outerShdw blurRad="50800" dist="38100" dir="2700000" algn="tl" rotWithShape="0">
              <a:prstClr val="black">
                <a:alpha val="40000"/>
              </a:prstClr>
            </a:outerShdw>
          </a:effectLst>
          <a:scene3d>
            <a:camera prst="orthographicFront"/>
            <a:lightRig rig="threePt" dir="t"/>
          </a:scene3d>
          <a:sp3d>
            <a:bevelT h="1905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mn-lt"/>
                  <a:ea typeface="+mn-ea"/>
                  <a:cs typeface="+mn-cs"/>
                </a:defRPr>
              </a:pPr>
              <a:endParaRPr lang="en-US"/>
            </a:p>
          </c:txPr>
          <c:dLblPos val="inEnd"/>
          <c:showLegendKey val="0"/>
          <c:showVal val="0"/>
          <c:showCatName val="0"/>
          <c:showSerName val="1"/>
          <c:showPercent val="0"/>
          <c:showBubbleSize val="0"/>
          <c:extLst>
            <c:ext xmlns:c15="http://schemas.microsoft.com/office/drawing/2012/chart" uri="{CE6537A1-D6FC-4f65-9D91-7224C49458BB}"/>
          </c:extLst>
        </c:dLbl>
      </c:pivotFmt>
      <c:pivotFmt>
        <c:idx val="29"/>
        <c:spPr>
          <a:solidFill>
            <a:srgbClr val="FFC267"/>
          </a:solidFill>
          <a:ln>
            <a:noFill/>
          </a:ln>
          <a:effectLst>
            <a:outerShdw blurRad="50800" dist="38100" dir="2700000" algn="tl" rotWithShape="0">
              <a:prstClr val="black">
                <a:alpha val="40000"/>
              </a:prstClr>
            </a:outerShdw>
          </a:effectLst>
          <a:scene3d>
            <a:camera prst="orthographicFront"/>
            <a:lightRig rig="threePt" dir="t"/>
          </a:scene3d>
          <a:sp3d>
            <a:bevelT h="1905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mn-lt"/>
                  <a:ea typeface="+mn-ea"/>
                  <a:cs typeface="+mn-cs"/>
                </a:defRPr>
              </a:pPr>
              <a:endParaRPr lang="en-US"/>
            </a:p>
          </c:txPr>
          <c:dLblPos val="inEnd"/>
          <c:showLegendKey val="0"/>
          <c:showVal val="0"/>
          <c:showCatName val="0"/>
          <c:showSerName val="1"/>
          <c:showPercent val="0"/>
          <c:showBubbleSize val="0"/>
          <c:extLst>
            <c:ext xmlns:c15="http://schemas.microsoft.com/office/drawing/2012/chart" uri="{CE6537A1-D6FC-4f65-9D91-7224C49458BB}"/>
          </c:extLst>
        </c:dLbl>
      </c:pivotFmt>
      <c:pivotFmt>
        <c:idx val="30"/>
        <c:spPr>
          <a:solidFill>
            <a:srgbClr val="FF7D67"/>
          </a:solidFill>
          <a:ln>
            <a:noFill/>
          </a:ln>
          <a:effectLst>
            <a:outerShdw blurRad="50800" dist="38100" dir="2700000" algn="tl" rotWithShape="0">
              <a:prstClr val="black">
                <a:alpha val="40000"/>
              </a:prstClr>
            </a:outerShdw>
          </a:effectLst>
          <a:scene3d>
            <a:camera prst="orthographicFront"/>
            <a:lightRig rig="threePt" dir="t"/>
          </a:scene3d>
          <a:sp3d>
            <a:bevelT h="1905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mn-lt"/>
                  <a:ea typeface="+mn-ea"/>
                  <a:cs typeface="+mn-cs"/>
                </a:defRPr>
              </a:pPr>
              <a:endParaRPr lang="en-US"/>
            </a:p>
          </c:txPr>
          <c:dLblPos val="inEnd"/>
          <c:showLegendKey val="0"/>
          <c:showVal val="0"/>
          <c:showCatName val="0"/>
          <c:showSerName val="1"/>
          <c:showPercent val="0"/>
          <c:showBubbleSize val="0"/>
          <c:extLst>
            <c:ext xmlns:c15="http://schemas.microsoft.com/office/drawing/2012/chart" uri="{CE6537A1-D6FC-4f65-9D91-7224C49458BB}"/>
          </c:extLst>
        </c:dLbl>
      </c:pivotFmt>
    </c:pivotFmts>
    <c:plotArea>
      <c:layout/>
      <c:barChart>
        <c:barDir val="col"/>
        <c:grouping val="percentStacked"/>
        <c:varyColors val="0"/>
        <c:ser>
          <c:idx val="0"/>
          <c:order val="0"/>
          <c:spPr>
            <a:solidFill>
              <a:srgbClr val="7DB17A"/>
            </a:solidFill>
            <a:ln>
              <a:noFill/>
            </a:ln>
            <a:effectLst>
              <a:outerShdw blurRad="50800" dist="38100" dir="2700000" algn="tl" rotWithShape="0">
                <a:prstClr val="black">
                  <a:alpha val="40000"/>
                </a:prstClr>
              </a:outerShdw>
            </a:effectLst>
            <a:scene3d>
              <a:camera prst="orthographicFront"/>
              <a:lightRig rig="threePt" dir="t"/>
            </a:scene3d>
            <a:sp3d>
              <a:bevelT h="19050"/>
            </a:sp3d>
          </c:spPr>
          <c:invertIfNegative val="0"/>
          <c:dLbls>
            <c:dLbl>
              <c:idx val="0"/>
              <c:layout>
                <c:manualLayout>
                  <c:x val="0"/>
                  <c:y val="-2.6385519227594759E-3"/>
                </c:manualLayout>
              </c:layout>
              <c:tx>
                <c:rich>
                  <a:bodyPr/>
                  <a:lstStyle/>
                  <a:p>
                    <a:r>
                      <a:rPr lang="en-US"/>
                      <a:t>A</a:t>
                    </a:r>
                  </a:p>
                </c:rich>
              </c:tx>
              <c:dLblPos val="ctr"/>
              <c:showLegendKey val="0"/>
              <c:showVal val="0"/>
              <c:showCatName val="0"/>
              <c:showSerName val="1"/>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0-1BBE-44CC-93FA-3A2CB4BEAA66}"/>
                </c:ext>
              </c:extLst>
            </c:dLbl>
            <c:dLbl>
              <c:idx val="1"/>
              <c:layout>
                <c:manualLayout>
                  <c:x val="-2.5276458780066546E-3"/>
                  <c:y val="-5.1871151024959605E-3"/>
                </c:manualLayout>
              </c:layout>
              <c:tx>
                <c:rich>
                  <a:bodyPr/>
                  <a:lstStyle/>
                  <a:p>
                    <a:r>
                      <a:rPr lang="en-US"/>
                      <a:t>A</a:t>
                    </a:r>
                  </a:p>
                </c:rich>
              </c:tx>
              <c:dLblPos val="ctr"/>
              <c:showLegendKey val="0"/>
              <c:showVal val="0"/>
              <c:showCatName val="0"/>
              <c:showSerName val="1"/>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1-1BBE-44CC-93FA-3A2CB4BEAA66}"/>
                </c:ext>
              </c:extLst>
            </c:dLbl>
            <c:spPr>
              <a:noFill/>
              <a:ln>
                <a:noFill/>
              </a:ln>
              <a:effectLst/>
            </c:spPr>
            <c:txPr>
              <a:bodyPr rot="0" spcFirstLastPara="1" vertOverflow="overflow" horzOverflow="overflow" vert="horz" wrap="square" lIns="38100" tIns="19050" rIns="38100" bIns="19050" anchor="t" anchorCtr="1">
                <a:spAutoFit/>
              </a:bodyPr>
              <a:lstStyle/>
              <a:p>
                <a:pPr>
                  <a:defRPr sz="1400" b="1" i="0" u="none" strike="noStrike" kern="1200" baseline="0">
                    <a:ln>
                      <a:noFill/>
                    </a:ln>
                    <a:solidFill>
                      <a:schemeClr val="tx1">
                        <a:lumMod val="75000"/>
                        <a:lumOff val="25000"/>
                      </a:schemeClr>
                    </a:solidFill>
                    <a:latin typeface="+mn-lt"/>
                    <a:ea typeface="+mn-ea"/>
                    <a:cs typeface="+mn-cs"/>
                  </a:defRPr>
                </a:pPr>
                <a:endParaRPr lang="en-US"/>
              </a:p>
            </c:txPr>
            <c:dLblPos val="inEnd"/>
            <c:showLegendKey val="0"/>
            <c:showVal val="0"/>
            <c:showCatName val="0"/>
            <c:showSerName val="1"/>
            <c:showPercent val="0"/>
            <c:showBubbleSize val="0"/>
            <c:separator>
</c:separator>
            <c:showLeaderLines val="0"/>
            <c:extLst>
              <c:ext xmlns:c15="http://schemas.microsoft.com/office/drawing/2012/chart" uri="{CE6537A1-D6FC-4f65-9D91-7224C49458BB}">
                <c15:showLeaderLines val="0"/>
              </c:ext>
            </c:extLst>
          </c:dLbls>
          <c:val>
            <c:numRef>
              <c:f>'October calculations'!$B$382:$C$382</c:f>
              <c:numCache>
                <c:formatCode>0%</c:formatCode>
                <c:ptCount val="2"/>
                <c:pt idx="0">
                  <c:v>0.11239193083573487</c:v>
                </c:pt>
                <c:pt idx="1">
                  <c:v>0.34795321637426901</c:v>
                </c:pt>
              </c:numCache>
            </c:numRef>
          </c:val>
          <c:extLst>
            <c:ext xmlns:c15="http://schemas.microsoft.com/office/drawing/2012/chart" uri="{02D57815-91ED-43cb-92C2-25804820EDAC}">
              <c15:filteredSeriesTitle>
                <c15:tx>
                  <c:strRef>
                    <c:extLst>
                      <c:ext uri="{02D57815-91ED-43cb-92C2-25804820EDAC}">
                        <c15:formulaRef>
                          <c15:sqref>'October calculations'!$A$382</c15:sqref>
                        </c15:formulaRef>
                      </c:ext>
                    </c:extLst>
                    <c:strCache>
                      <c:ptCount val="1"/>
                      <c:pt idx="0">
                        <c:v>A</c:v>
                      </c:pt>
                    </c:strCache>
                  </c:strRef>
                </c15:tx>
              </c15:filteredSeriesTitle>
            </c:ext>
            <c:ext xmlns:c15="http://schemas.microsoft.com/office/drawing/2012/chart" uri="{02D57815-91ED-43cb-92C2-25804820EDAC}">
              <c15:filteredCategoryTitle>
                <c15:cat>
                  <c:strRef>
                    <c:extLst>
                      <c:ext uri="{02D57815-91ED-43cb-92C2-25804820EDAC}">
                        <c15:formulaRef>
                          <c15:sqref>'October calculations'!$B$381:$C$381</c15:sqref>
                        </c15:formulaRef>
                      </c:ext>
                    </c:extLst>
                    <c:strCache>
                      <c:ptCount val="2"/>
                      <c:pt idx="0">
                        <c:v>April 2017</c:v>
                      </c:pt>
                      <c:pt idx="1">
                        <c:v>November 2017</c:v>
                      </c:pt>
                    </c:strCache>
                  </c:strRef>
                </c15:cat>
              </c15:filteredCategoryTitle>
            </c:ext>
            <c:ext xmlns:c16="http://schemas.microsoft.com/office/drawing/2014/chart" uri="{C3380CC4-5D6E-409C-BE32-E72D297353CC}">
              <c16:uniqueId val="{00000002-1BBE-44CC-93FA-3A2CB4BEAA66}"/>
            </c:ext>
          </c:extLst>
        </c:ser>
        <c:ser>
          <c:idx val="1"/>
          <c:order val="1"/>
          <c:spPr>
            <a:solidFill>
              <a:srgbClr val="C1FFC1"/>
            </a:solidFill>
            <a:ln>
              <a:noFill/>
            </a:ln>
            <a:effectLst>
              <a:outerShdw blurRad="50800" dist="38100" dir="2700000" algn="tl" rotWithShape="0">
                <a:prstClr val="black">
                  <a:alpha val="40000"/>
                </a:prstClr>
              </a:outerShdw>
            </a:effectLst>
            <a:scene3d>
              <a:camera prst="orthographicFront"/>
              <a:lightRig rig="threePt" dir="t"/>
            </a:scene3d>
            <a:sp3d>
              <a:bevelT h="19050"/>
            </a:sp3d>
          </c:spPr>
          <c:invertIfNegative val="0"/>
          <c:dLbls>
            <c:dLbl>
              <c:idx val="0"/>
              <c:layout>
                <c:manualLayout>
                  <c:x val="0"/>
                  <c:y val="-5.3229366214685939E-3"/>
                </c:manualLayout>
              </c:layout>
              <c:tx>
                <c:rich>
                  <a:bodyPr/>
                  <a:lstStyle/>
                  <a:p>
                    <a:r>
                      <a:rPr lang="en-US"/>
                      <a:t>B</a:t>
                    </a:r>
                  </a:p>
                </c:rich>
              </c:tx>
              <c:dLblPos val="ctr"/>
              <c:showLegendKey val="0"/>
              <c:showVal val="0"/>
              <c:showCatName val="0"/>
              <c:showSerName val="1"/>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3-1BBE-44CC-93FA-3A2CB4BEAA66}"/>
                </c:ext>
              </c:extLst>
            </c:dLbl>
            <c:dLbl>
              <c:idx val="1"/>
              <c:layout>
                <c:manualLayout>
                  <c:x val="0"/>
                  <c:y val="-7.5532787389205724E-3"/>
                </c:manualLayout>
              </c:layout>
              <c:tx>
                <c:rich>
                  <a:bodyPr rot="0" spcFirstLastPara="1" vertOverflow="overflow" horzOverflow="overflow" vert="horz" wrap="square" lIns="38100" tIns="19050" rIns="38100" bIns="19050" anchor="t" anchorCtr="1">
                    <a:spAutoFit/>
                  </a:bodyPr>
                  <a:lstStyle/>
                  <a:p>
                    <a:pPr>
                      <a:defRPr sz="1400" b="1" i="0" u="none" strike="noStrike" kern="1200" baseline="0">
                        <a:solidFill>
                          <a:schemeClr val="tx1">
                            <a:lumMod val="75000"/>
                            <a:lumOff val="25000"/>
                          </a:schemeClr>
                        </a:solidFill>
                        <a:latin typeface="+mn-lt"/>
                        <a:ea typeface="+mn-ea"/>
                        <a:cs typeface="+mn-cs"/>
                      </a:defRPr>
                    </a:pPr>
                    <a:r>
                      <a:rPr lang="en-US"/>
                      <a:t>B</a:t>
                    </a:r>
                  </a:p>
                </c:rich>
              </c:tx>
              <c:spPr>
                <a:noFill/>
                <a:ln>
                  <a:noFill/>
                </a:ln>
                <a:effectLst/>
              </c:spPr>
              <c:txPr>
                <a:bodyPr rot="0" spcFirstLastPara="1" vertOverflow="overflow" horzOverflow="overflow" vert="horz" wrap="square" lIns="38100" tIns="19050" rIns="38100" bIns="19050" anchor="t" anchorCtr="1">
                  <a:spAutoFit/>
                </a:bodyPr>
                <a:lstStyle/>
                <a:p>
                  <a:pPr>
                    <a:defRPr sz="1400" b="1" i="0" u="none" strike="noStrike" kern="1200" baseline="0">
                      <a:solidFill>
                        <a:schemeClr val="tx1">
                          <a:lumMod val="75000"/>
                          <a:lumOff val="25000"/>
                        </a:schemeClr>
                      </a:solidFill>
                      <a:latin typeface="+mn-lt"/>
                      <a:ea typeface="+mn-ea"/>
                      <a:cs typeface="+mn-cs"/>
                    </a:defRPr>
                  </a:pPr>
                  <a:endParaRPr lang="en-US"/>
                </a:p>
              </c:txPr>
              <c:dLblPos val="ctr"/>
              <c:showLegendKey val="0"/>
              <c:showVal val="0"/>
              <c:showCatName val="0"/>
              <c:showSerName val="1"/>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4-1BBE-44CC-93FA-3A2CB4BEAA66}"/>
                </c:ext>
              </c:extLst>
            </c:dLbl>
            <c:spPr>
              <a:noFill/>
              <a:ln>
                <a:noFill/>
              </a:ln>
              <a:effectLst/>
            </c:spPr>
            <c:txPr>
              <a:bodyPr rot="0" spcFirstLastPara="1" vertOverflow="overflow" horzOverflow="overflow" vert="horz" wrap="square" lIns="38100" tIns="19050" rIns="38100" bIns="19050" anchor="b" anchorCtr="1">
                <a:spAutoFit/>
              </a:bodyPr>
              <a:lstStyle/>
              <a:p>
                <a:pPr>
                  <a:defRPr sz="1400" b="1" i="0" u="none" strike="noStrike" kern="1200" baseline="0">
                    <a:solidFill>
                      <a:schemeClr val="tx1">
                        <a:lumMod val="75000"/>
                        <a:lumOff val="25000"/>
                      </a:schemeClr>
                    </a:solidFill>
                    <a:latin typeface="+mn-lt"/>
                    <a:ea typeface="+mn-ea"/>
                    <a:cs typeface="+mn-cs"/>
                  </a:defRPr>
                </a:pPr>
                <a:endParaRPr lang="en-US"/>
              </a:p>
            </c:txPr>
            <c:dLblPos val="inEnd"/>
            <c:showLegendKey val="0"/>
            <c:showVal val="0"/>
            <c:showCatName val="0"/>
            <c:showSerName val="1"/>
            <c:showPercent val="0"/>
            <c:showBubbleSize val="0"/>
            <c:separator>
</c:separator>
            <c:showLeaderLines val="0"/>
            <c:extLst>
              <c:ext xmlns:c15="http://schemas.microsoft.com/office/drawing/2012/chart" uri="{CE6537A1-D6FC-4f65-9D91-7224C49458BB}">
                <c15:showLeaderLines val="0"/>
              </c:ext>
            </c:extLst>
          </c:dLbls>
          <c:val>
            <c:numRef>
              <c:f>'October calculations'!$B$383:$C$383</c:f>
              <c:numCache>
                <c:formatCode>0%</c:formatCode>
                <c:ptCount val="2"/>
                <c:pt idx="0">
                  <c:v>0.30547550432276654</c:v>
                </c:pt>
                <c:pt idx="1">
                  <c:v>0.34795321637426901</c:v>
                </c:pt>
              </c:numCache>
            </c:numRef>
          </c:val>
          <c:extLst>
            <c:ext xmlns:c15="http://schemas.microsoft.com/office/drawing/2012/chart" uri="{02D57815-91ED-43cb-92C2-25804820EDAC}">
              <c15:filteredSeriesTitle>
                <c15:tx>
                  <c:strRef>
                    <c:extLst>
                      <c:ext uri="{02D57815-91ED-43cb-92C2-25804820EDAC}">
                        <c15:formulaRef>
                          <c15:sqref>'October calculations'!$A$383</c15:sqref>
                        </c15:formulaRef>
                      </c:ext>
                    </c:extLst>
                    <c:strCache>
                      <c:ptCount val="1"/>
                      <c:pt idx="0">
                        <c:v>B</c:v>
                      </c:pt>
                    </c:strCache>
                  </c:strRef>
                </c15:tx>
              </c15:filteredSeriesTitle>
            </c:ext>
            <c:ext xmlns:c15="http://schemas.microsoft.com/office/drawing/2012/chart" uri="{02D57815-91ED-43cb-92C2-25804820EDAC}">
              <c15:filteredCategoryTitle>
                <c15:cat>
                  <c:strRef>
                    <c:extLst>
                      <c:ext uri="{02D57815-91ED-43cb-92C2-25804820EDAC}">
                        <c15:formulaRef>
                          <c15:sqref>'October calculations'!$B$381:$C$381</c15:sqref>
                        </c15:formulaRef>
                      </c:ext>
                    </c:extLst>
                    <c:strCache>
                      <c:ptCount val="2"/>
                      <c:pt idx="0">
                        <c:v>April 2017</c:v>
                      </c:pt>
                      <c:pt idx="1">
                        <c:v>November 2017</c:v>
                      </c:pt>
                    </c:strCache>
                  </c:strRef>
                </c15:cat>
              </c15:filteredCategoryTitle>
            </c:ext>
            <c:ext xmlns:c16="http://schemas.microsoft.com/office/drawing/2014/chart" uri="{C3380CC4-5D6E-409C-BE32-E72D297353CC}">
              <c16:uniqueId val="{00000005-1BBE-44CC-93FA-3A2CB4BEAA66}"/>
            </c:ext>
          </c:extLst>
        </c:ser>
        <c:ser>
          <c:idx val="2"/>
          <c:order val="2"/>
          <c:spPr>
            <a:solidFill>
              <a:srgbClr val="FFEB84"/>
            </a:solidFill>
            <a:ln>
              <a:noFill/>
            </a:ln>
            <a:effectLst>
              <a:outerShdw blurRad="50800" dist="38100" dir="2700000" algn="ctr" rotWithShape="0">
                <a:srgbClr val="000000">
                  <a:alpha val="40000"/>
                </a:srgbClr>
              </a:outerShdw>
            </a:effectLst>
            <a:scene3d>
              <a:camera prst="orthographicFront"/>
              <a:lightRig rig="threePt" dir="t"/>
            </a:scene3d>
            <a:sp3d>
              <a:bevelT h="19050"/>
            </a:sp3d>
          </c:spPr>
          <c:invertIfNegative val="0"/>
          <c:dLbls>
            <c:dLbl>
              <c:idx val="0"/>
              <c:tx>
                <c:rich>
                  <a:bodyPr/>
                  <a:lstStyle/>
                  <a:p>
                    <a:r>
                      <a:rPr lang="en-US"/>
                      <a:t>C</a:t>
                    </a:r>
                  </a:p>
                </c:rich>
              </c:tx>
              <c:showLegendKey val="0"/>
              <c:showVal val="0"/>
              <c:showCatName val="0"/>
              <c:showSerName val="1"/>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0-D78E-4C8E-BB8A-4C7F952A0BAA}"/>
                </c:ext>
              </c:extLst>
            </c:dLbl>
            <c:dLbl>
              <c:idx val="1"/>
              <c:tx>
                <c:rich>
                  <a:bodyPr/>
                  <a:lstStyle/>
                  <a:p>
                    <a:r>
                      <a:rPr lang="en-US"/>
                      <a:t>C</a:t>
                    </a:r>
                  </a:p>
                </c:rich>
              </c:tx>
              <c:showLegendKey val="0"/>
              <c:showVal val="0"/>
              <c:showCatName val="0"/>
              <c:showSerName val="1"/>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3-D78E-4C8E-BB8A-4C7F952A0BAA}"/>
                </c:ext>
              </c:extLst>
            </c:dLbl>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1"/>
            <c:showPercent val="0"/>
            <c:showBubbleSize val="0"/>
            <c:separator>
</c:separator>
            <c:showLeaderLines val="0"/>
            <c:extLst>
              <c:ext xmlns:c15="http://schemas.microsoft.com/office/drawing/2012/chart" uri="{CE6537A1-D6FC-4f65-9D91-7224C49458BB}">
                <c15:showLeaderLines val="0"/>
              </c:ext>
            </c:extLst>
          </c:dLbls>
          <c:val>
            <c:numRef>
              <c:f>'October calculations'!$B$384:$C$384</c:f>
              <c:numCache>
                <c:formatCode>0%</c:formatCode>
                <c:ptCount val="2"/>
                <c:pt idx="0">
                  <c:v>0.16426512968299711</c:v>
                </c:pt>
                <c:pt idx="1">
                  <c:v>0.15789473684210525</c:v>
                </c:pt>
              </c:numCache>
            </c:numRef>
          </c:val>
          <c:extLst>
            <c:ext xmlns:c15="http://schemas.microsoft.com/office/drawing/2012/chart" uri="{02D57815-91ED-43cb-92C2-25804820EDAC}">
              <c15:filteredSeriesTitle>
                <c15:tx>
                  <c:strRef>
                    <c:extLst>
                      <c:ext uri="{02D57815-91ED-43cb-92C2-25804820EDAC}">
                        <c15:formulaRef>
                          <c15:sqref>'October calculations'!$A$384</c15:sqref>
                        </c15:formulaRef>
                      </c:ext>
                    </c:extLst>
                    <c:strCache>
                      <c:ptCount val="1"/>
                      <c:pt idx="0">
                        <c:v>C</c:v>
                      </c:pt>
                    </c:strCache>
                  </c:strRef>
                </c15:tx>
              </c15:filteredSeriesTitle>
            </c:ext>
            <c:ext xmlns:c15="http://schemas.microsoft.com/office/drawing/2012/chart" uri="{02D57815-91ED-43cb-92C2-25804820EDAC}">
              <c15:filteredCategoryTitle>
                <c15:cat>
                  <c:strRef>
                    <c:extLst>
                      <c:ext uri="{02D57815-91ED-43cb-92C2-25804820EDAC}">
                        <c15:formulaRef>
                          <c15:sqref>'October calculations'!$B$381:$C$381</c15:sqref>
                        </c15:formulaRef>
                      </c:ext>
                    </c:extLst>
                    <c:strCache>
                      <c:ptCount val="2"/>
                      <c:pt idx="0">
                        <c:v>April 2017</c:v>
                      </c:pt>
                      <c:pt idx="1">
                        <c:v>November 2017</c:v>
                      </c:pt>
                    </c:strCache>
                  </c:strRef>
                </c15:cat>
              </c15:filteredCategoryTitle>
            </c:ext>
            <c:ext xmlns:c16="http://schemas.microsoft.com/office/drawing/2014/chart" uri="{C3380CC4-5D6E-409C-BE32-E72D297353CC}">
              <c16:uniqueId val="{00000006-1BBE-44CC-93FA-3A2CB4BEAA66}"/>
            </c:ext>
          </c:extLst>
        </c:ser>
        <c:ser>
          <c:idx val="3"/>
          <c:order val="3"/>
          <c:spPr>
            <a:solidFill>
              <a:srgbClr val="FBAA77"/>
            </a:solidFill>
            <a:ln>
              <a:noFill/>
            </a:ln>
            <a:effectLst>
              <a:outerShdw blurRad="50800" dist="38100" dir="2700000" algn="ctr" rotWithShape="0">
                <a:srgbClr val="000000">
                  <a:alpha val="40000"/>
                </a:srgbClr>
              </a:outerShdw>
            </a:effectLst>
            <a:scene3d>
              <a:camera prst="orthographicFront"/>
              <a:lightRig rig="threePt" dir="t"/>
            </a:scene3d>
            <a:sp3d>
              <a:bevelT h="19050"/>
            </a:sp3d>
          </c:spPr>
          <c:invertIfNegative val="0"/>
          <c:dLbls>
            <c:dLbl>
              <c:idx val="0"/>
              <c:tx>
                <c:rich>
                  <a:bodyPr/>
                  <a:lstStyle/>
                  <a:p>
                    <a:r>
                      <a:rPr lang="en-US"/>
                      <a:t>D</a:t>
                    </a:r>
                  </a:p>
                </c:rich>
              </c:tx>
              <c:showLegendKey val="0"/>
              <c:showVal val="0"/>
              <c:showCatName val="0"/>
              <c:showSerName val="1"/>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1-D78E-4C8E-BB8A-4C7F952A0BAA}"/>
                </c:ext>
              </c:extLst>
            </c:dLbl>
            <c:dLbl>
              <c:idx val="1"/>
              <c:tx>
                <c:rich>
                  <a:bodyPr/>
                  <a:lstStyle/>
                  <a:p>
                    <a:r>
                      <a:rPr lang="en-US"/>
                      <a:t>D</a:t>
                    </a:r>
                  </a:p>
                </c:rich>
              </c:tx>
              <c:showLegendKey val="0"/>
              <c:showVal val="0"/>
              <c:showCatName val="0"/>
              <c:showSerName val="1"/>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4-D78E-4C8E-BB8A-4C7F952A0BAA}"/>
                </c:ext>
              </c:extLst>
            </c:dLbl>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1"/>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'October calculations'!$B$385:$C$385</c:f>
              <c:numCache>
                <c:formatCode>0%</c:formatCode>
                <c:ptCount val="2"/>
                <c:pt idx="0">
                  <c:v>0.18155619596541786</c:v>
                </c:pt>
                <c:pt idx="1">
                  <c:v>0.22807017543859648</c:v>
                </c:pt>
              </c:numCache>
            </c:numRef>
          </c:val>
          <c:extLst>
            <c:ext xmlns:c15="http://schemas.microsoft.com/office/drawing/2012/chart" uri="{02D57815-91ED-43cb-92C2-25804820EDAC}">
              <c15:filteredSeriesTitle>
                <c15:tx>
                  <c:strRef>
                    <c:extLst>
                      <c:ext uri="{02D57815-91ED-43cb-92C2-25804820EDAC}">
                        <c15:formulaRef>
                          <c15:sqref>'October calculations'!$A$385</c15:sqref>
                        </c15:formulaRef>
                      </c:ext>
                    </c:extLst>
                    <c:strCache>
                      <c:ptCount val="1"/>
                      <c:pt idx="0">
                        <c:v>D</c:v>
                      </c:pt>
                    </c:strCache>
                  </c:strRef>
                </c15:tx>
              </c15:filteredSeriesTitle>
            </c:ext>
            <c:ext xmlns:c15="http://schemas.microsoft.com/office/drawing/2012/chart" uri="{02D57815-91ED-43cb-92C2-25804820EDAC}">
              <c15:filteredCategoryTitle>
                <c15:cat>
                  <c:strRef>
                    <c:extLst>
                      <c:ext uri="{02D57815-91ED-43cb-92C2-25804820EDAC}">
                        <c15:formulaRef>
                          <c15:sqref>'October calculations'!$B$381:$C$381</c15:sqref>
                        </c15:formulaRef>
                      </c:ext>
                    </c:extLst>
                    <c:strCache>
                      <c:ptCount val="2"/>
                      <c:pt idx="0">
                        <c:v>April 2017</c:v>
                      </c:pt>
                      <c:pt idx="1">
                        <c:v>November 2017</c:v>
                      </c:pt>
                    </c:strCache>
                  </c:strRef>
                </c15:cat>
              </c15:filteredCategoryTitle>
            </c:ext>
            <c:ext xmlns:c16="http://schemas.microsoft.com/office/drawing/2014/chart" uri="{C3380CC4-5D6E-409C-BE32-E72D297353CC}">
              <c16:uniqueId val="{00000007-1BBE-44CC-93FA-3A2CB4BEAA66}"/>
            </c:ext>
          </c:extLst>
        </c:ser>
        <c:ser>
          <c:idx val="4"/>
          <c:order val="4"/>
          <c:spPr>
            <a:solidFill>
              <a:srgbClr val="FF7D67"/>
            </a:solidFill>
            <a:ln>
              <a:noFill/>
            </a:ln>
            <a:effectLst>
              <a:outerShdw blurRad="50800" dist="38100" dir="2700000" algn="ctr" rotWithShape="0">
                <a:srgbClr val="000000">
                  <a:alpha val="40000"/>
                </a:srgbClr>
              </a:outerShdw>
            </a:effectLst>
            <a:scene3d>
              <a:camera prst="orthographicFront"/>
              <a:lightRig rig="threePt" dir="t"/>
            </a:scene3d>
            <a:sp3d>
              <a:bevelT h="19050"/>
            </a:sp3d>
          </c:spPr>
          <c:invertIfNegative val="0"/>
          <c:dLbls>
            <c:dLbl>
              <c:idx val="0"/>
              <c:tx>
                <c:rich>
                  <a:bodyPr rot="0" spcFirstLastPara="1" vertOverflow="ellipsis" vert="horz" wrap="square" lIns="38100" tIns="19050" rIns="38100" bIns="19050" anchor="ctr" anchorCtr="0">
                    <a:spAutoFit/>
                  </a:bodyPr>
                  <a:lstStyle/>
                  <a:p>
                    <a:pPr algn="ctr">
                      <a:defRPr sz="1400" b="1" i="0" u="none" strike="noStrike" kern="1200" baseline="0">
                        <a:solidFill>
                          <a:schemeClr val="tx1">
                            <a:lumMod val="75000"/>
                            <a:lumOff val="25000"/>
                          </a:schemeClr>
                        </a:solidFill>
                        <a:latin typeface="+mn-lt"/>
                        <a:ea typeface="+mn-ea"/>
                        <a:cs typeface="+mn-cs"/>
                      </a:defRPr>
                    </a:pPr>
                    <a:r>
                      <a:rPr lang="en-US"/>
                      <a:t>E</a:t>
                    </a:r>
                  </a:p>
                </c:rich>
              </c:tx>
              <c:spPr>
                <a:noFill/>
                <a:ln>
                  <a:noFill/>
                </a:ln>
                <a:effectLst/>
              </c:spPr>
              <c:txPr>
                <a:bodyPr rot="0" spcFirstLastPara="1" vertOverflow="ellipsis" vert="horz" wrap="square" lIns="38100" tIns="19050" rIns="38100" bIns="19050" anchor="ctr" anchorCtr="0">
                  <a:spAutoFit/>
                </a:bodyPr>
                <a:lstStyle/>
                <a:p>
                  <a:pPr algn="ctr">
                    <a:defRPr sz="1400" b="1"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1"/>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2-D78E-4C8E-BB8A-4C7F952A0BAA}"/>
                </c:ext>
              </c:extLst>
            </c:dLbl>
            <c:dLbl>
              <c:idx val="1"/>
              <c:tx>
                <c:rich>
                  <a:bodyPr/>
                  <a:lstStyle/>
                  <a:p>
                    <a:r>
                      <a:rPr lang="en-US"/>
                      <a:t>E</a:t>
                    </a:r>
                  </a:p>
                </c:rich>
              </c:tx>
              <c:showLegendKey val="0"/>
              <c:showVal val="0"/>
              <c:showCatName val="0"/>
              <c:showSerName val="1"/>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5-D78E-4C8E-BB8A-4C7F952A0BAA}"/>
                </c:ext>
              </c:extLst>
            </c:dLbl>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1"/>
            <c:showPercent val="0"/>
            <c:showBubbleSize val="0"/>
            <c:separator>
</c:separator>
            <c:showLeaderLines val="0"/>
            <c:extLst>
              <c:ext xmlns:c15="http://schemas.microsoft.com/office/drawing/2012/chart" uri="{CE6537A1-D6FC-4f65-9D91-7224C49458BB}">
                <c15:showLeaderLines val="0"/>
              </c:ext>
            </c:extLst>
          </c:dLbls>
          <c:val>
            <c:numRef>
              <c:f>'October calculations'!$B$386:$C$386</c:f>
              <c:numCache>
                <c:formatCode>0%</c:formatCode>
                <c:ptCount val="2"/>
                <c:pt idx="0">
                  <c:v>0.23631123919308358</c:v>
                </c:pt>
                <c:pt idx="1">
                  <c:v>0.14327485380116958</c:v>
                </c:pt>
              </c:numCache>
            </c:numRef>
          </c:val>
          <c:extLst>
            <c:ext xmlns:c15="http://schemas.microsoft.com/office/drawing/2012/chart" uri="{02D57815-91ED-43cb-92C2-25804820EDAC}">
              <c15:filteredSeriesTitle>
                <c15:tx>
                  <c:strRef>
                    <c:extLst>
                      <c:ext uri="{02D57815-91ED-43cb-92C2-25804820EDAC}">
                        <c15:formulaRef>
                          <c15:sqref>'October calculations'!$A$386</c15:sqref>
                        </c15:formulaRef>
                      </c:ext>
                    </c:extLst>
                    <c:strCache>
                      <c:ptCount val="1"/>
                      <c:pt idx="0">
                        <c:v>E</c:v>
                      </c:pt>
                    </c:strCache>
                  </c:strRef>
                </c15:tx>
              </c15:filteredSeriesTitle>
            </c:ext>
            <c:ext xmlns:c15="http://schemas.microsoft.com/office/drawing/2012/chart" uri="{02D57815-91ED-43cb-92C2-25804820EDAC}">
              <c15:filteredCategoryTitle>
                <c15:cat>
                  <c:strRef>
                    <c:extLst>
                      <c:ext uri="{02D57815-91ED-43cb-92C2-25804820EDAC}">
                        <c15:formulaRef>
                          <c15:sqref>'October calculations'!$B$381:$C$381</c15:sqref>
                        </c15:formulaRef>
                      </c:ext>
                    </c:extLst>
                    <c:strCache>
                      <c:ptCount val="2"/>
                      <c:pt idx="0">
                        <c:v>April 2017</c:v>
                      </c:pt>
                      <c:pt idx="1">
                        <c:v>November 2017</c:v>
                      </c:pt>
                    </c:strCache>
                  </c:strRef>
                </c15:cat>
              </c15:filteredCategoryTitle>
            </c:ext>
            <c:ext xmlns:c16="http://schemas.microsoft.com/office/drawing/2014/chart" uri="{C3380CC4-5D6E-409C-BE32-E72D297353CC}">
              <c16:uniqueId val="{00000008-1BBE-44CC-93FA-3A2CB4BEAA66}"/>
            </c:ext>
          </c:extLst>
        </c:ser>
        <c:dLbls>
          <c:showLegendKey val="0"/>
          <c:showVal val="1"/>
          <c:showCatName val="0"/>
          <c:showSerName val="0"/>
          <c:showPercent val="0"/>
          <c:showBubbleSize val="0"/>
        </c:dLbls>
        <c:gapWidth val="85"/>
        <c:overlap val="100"/>
        <c:axId val="1829164016"/>
        <c:axId val="1742261216"/>
      </c:barChart>
      <c:catAx>
        <c:axId val="18291640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t" anchorCtr="1"/>
          <a:lstStyle/>
          <a:p>
            <a:pPr>
              <a:defRPr sz="1200" b="1" i="0" u="none" strike="noStrike" kern="1200" baseline="0">
                <a:solidFill>
                  <a:schemeClr val="tx1">
                    <a:lumMod val="65000"/>
                    <a:lumOff val="35000"/>
                  </a:schemeClr>
                </a:solidFill>
                <a:latin typeface="+mn-lt"/>
                <a:ea typeface="+mn-ea"/>
                <a:cs typeface="+mn-cs"/>
              </a:defRPr>
            </a:pPr>
            <a:endParaRPr lang="en-US"/>
          </a:p>
        </c:txPr>
        <c:crossAx val="1742261216"/>
        <c:crossesAt val="0"/>
        <c:auto val="0"/>
        <c:lblAlgn val="ctr"/>
        <c:lblOffset val="0"/>
        <c:noMultiLvlLbl val="0"/>
      </c:catAx>
      <c:valAx>
        <c:axId val="1742261216"/>
        <c:scaling>
          <c:orientation val="minMax"/>
        </c:scaling>
        <c:delete val="0"/>
        <c:axPos val="l"/>
        <c:majorGridlines>
          <c:spPr>
            <a:ln w="19050" cap="flat" cmpd="sng" algn="ctr">
              <a:solidFill>
                <a:schemeClr val="tx1">
                  <a:lumMod val="15000"/>
                  <a:lumOff val="85000"/>
                </a:schemeClr>
              </a:solidFill>
              <a:round/>
            </a:ln>
            <a:effectLst/>
          </c:spPr>
        </c:majorGridlines>
        <c:minorGridlines>
          <c:spPr>
            <a:ln w="2857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r>
                  <a:rPr lang="en-GB"/>
                  <a:t>Proportion of Authorities</a:t>
                </a:r>
              </a:p>
            </c:rich>
          </c:tx>
          <c:overlay val="0"/>
          <c:spPr>
            <a:noFill/>
            <a:ln>
              <a:noFill/>
            </a:ln>
            <a:effectLst/>
          </c:spPr>
          <c:txPr>
            <a:bodyPr rot="-540000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cross"/>
        <c:minorTickMark val="in"/>
        <c:tickLblPos val="nextTo"/>
        <c:spPr>
          <a:noFill/>
          <a:ln>
            <a:solidFill>
              <a:schemeClr val="tx1">
                <a:lumMod val="15000"/>
                <a:lumOff val="85000"/>
              </a:schemeClr>
            </a:solidFill>
          </a:ln>
          <a:effectLst/>
        </c:spPr>
        <c:txPr>
          <a:bodyPr rot="0" spcFirstLastPara="1" vertOverflow="ellipsis" wrap="square" anchor="b" anchorCtr="1"/>
          <a:lstStyle/>
          <a:p>
            <a:pPr>
              <a:defRPr sz="1100" b="0" i="0" u="none" strike="noStrike" kern="1200" baseline="0">
                <a:solidFill>
                  <a:schemeClr val="tx1">
                    <a:lumMod val="65000"/>
                    <a:lumOff val="35000"/>
                  </a:schemeClr>
                </a:solidFill>
                <a:latin typeface="+mn-lt"/>
                <a:ea typeface="+mn-ea"/>
                <a:cs typeface="+mn-cs"/>
              </a:defRPr>
            </a:pPr>
            <a:endParaRPr lang="en-US"/>
          </a:p>
        </c:txPr>
        <c:crossAx val="1829164016"/>
        <c:crosses val="autoZero"/>
        <c:crossBetween val="between"/>
        <c:majorUnit val="0.1"/>
        <c:minorUnit val="5.000000000000001E-2"/>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a:outerShdw blurRad="50800" dist="127000" dir="2700000" algn="tl" rotWithShape="0">
        <a:prstClr val="black">
          <a:alpha val="40000"/>
        </a:prstClr>
      </a:outerShdw>
    </a:effectLst>
    <a:scene3d>
      <a:camera prst="orthographicFront"/>
      <a:lightRig rig="threePt" dir="t"/>
    </a:scene3d>
    <a:sp3d prstMaterial="matte">
      <a:bevelT/>
    </a:sp3d>
  </c:spPr>
  <c:txPr>
    <a:bodyPr/>
    <a:lstStyle/>
    <a:p>
      <a:pPr>
        <a:defRPr/>
      </a:pPr>
      <a:endParaRPr lang="en-US"/>
    </a:p>
  </c:txPr>
  <c:externalData r:id="rId4">
    <c:autoUpdate val="0"/>
  </c:externalData>
  <c:extLst/>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_rels/theme1.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Banded">
  <a:themeElements>
    <a:clrScheme name="Banded">
      <a:dk1>
        <a:srgbClr val="2C2C2C"/>
      </a:dk1>
      <a:lt1>
        <a:srgbClr val="FFFFFF"/>
      </a:lt1>
      <a:dk2>
        <a:srgbClr val="099BDD"/>
      </a:dk2>
      <a:lt2>
        <a:srgbClr val="F2F2F2"/>
      </a:lt2>
      <a:accent1>
        <a:srgbClr val="FFC000"/>
      </a:accent1>
      <a:accent2>
        <a:srgbClr val="A5D028"/>
      </a:accent2>
      <a:accent3>
        <a:srgbClr val="08CC78"/>
      </a:accent3>
      <a:accent4>
        <a:srgbClr val="F24099"/>
      </a:accent4>
      <a:accent5>
        <a:srgbClr val="828288"/>
      </a:accent5>
      <a:accent6>
        <a:srgbClr val="F56617"/>
      </a:accent6>
      <a:hlink>
        <a:srgbClr val="005DBA"/>
      </a:hlink>
      <a:folHlink>
        <a:srgbClr val="6C606A"/>
      </a:folHlink>
    </a:clrScheme>
    <a:fontScheme name="Banded">
      <a:majorFont>
        <a:latin typeface="Corbel" panose="020B0503020204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orbel" panose="020B0503020204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Banded">
      <a:fillStyleLst>
        <a:solidFill>
          <a:schemeClr val="phClr"/>
        </a:solidFill>
        <a:gradFill rotWithShape="1">
          <a:gsLst>
            <a:gs pos="0">
              <a:schemeClr val="phClr">
                <a:tint val="65000"/>
                <a:satMod val="120000"/>
                <a:lumMod val="107000"/>
              </a:schemeClr>
            </a:gs>
            <a:gs pos="50000">
              <a:schemeClr val="phClr">
                <a:tint val="70000"/>
                <a:satMod val="124000"/>
                <a:lumMod val="103000"/>
              </a:schemeClr>
            </a:gs>
            <a:gs pos="100000">
              <a:schemeClr val="phClr">
                <a:tint val="85000"/>
                <a:satMod val="120000"/>
                <a:lumMod val="100000"/>
              </a:schemeClr>
            </a:gs>
          </a:gsLst>
          <a:lin ang="5400000" scaled="0"/>
        </a:gradFill>
        <a:gradFill rotWithShape="1">
          <a:gsLst>
            <a:gs pos="0">
              <a:schemeClr val="phClr">
                <a:tint val="85000"/>
                <a:shade val="98000"/>
                <a:satMod val="110000"/>
                <a:lumMod val="103000"/>
              </a:schemeClr>
            </a:gs>
            <a:gs pos="50000">
              <a:schemeClr val="phClr">
                <a:shade val="85000"/>
                <a:satMod val="105000"/>
                <a:lumMod val="100000"/>
              </a:schemeClr>
            </a:gs>
            <a:gs pos="100000">
              <a:schemeClr val="phClr">
                <a:shade val="60000"/>
                <a:satMod val="120000"/>
                <a:lumMod val="100000"/>
              </a:schemeClr>
            </a:gs>
          </a:gsLst>
          <a:lin ang="5400000" scaled="0"/>
        </a:gradFill>
      </a:fillStyleLst>
      <a:lnStyleLst>
        <a:ln w="9525" cap="flat" cmpd="sng" algn="ctr">
          <a:solidFill>
            <a:schemeClr val="phClr"/>
          </a:solidFill>
          <a:prstDash val="solid"/>
        </a:ln>
        <a:ln w="12700" cap="flat" cmpd="sng" algn="ctr">
          <a:solidFill>
            <a:schemeClr val="phClr"/>
          </a:solidFill>
          <a:prstDash val="solid"/>
        </a:ln>
        <a:ln w="25400" cap="flat" cmpd="sng" algn="ctr">
          <a:solidFill>
            <a:schemeClr val="phClr"/>
          </a:solidFill>
          <a:prstDash val="solid"/>
        </a:ln>
      </a:lnStyleLst>
      <a:effectStyleLst>
        <a:effectStyle>
          <a:effectLst/>
        </a:effectStyle>
        <a:effectStyle>
          <a:effectLst>
            <a:outerShdw blurRad="50800" dist="15875" dir="5400000" algn="ctr" rotWithShape="0">
              <a:srgbClr val="000000">
                <a:alpha val="68000"/>
              </a:srgbClr>
            </a:outerShdw>
          </a:effectLst>
        </a:effectStyle>
        <a:effectStyle>
          <a:effectLst>
            <a:outerShdw blurRad="88900" dist="27940" dir="5400000" algn="ctr" rotWithShape="0">
              <a:srgbClr val="000000">
                <a:alpha val="63000"/>
              </a:srgbClr>
            </a:outerShdw>
          </a:effectLst>
        </a:effectStyle>
      </a:effectStyleLst>
      <a:bgFillStyleLst>
        <a:solidFill>
          <a:schemeClr val="phClr"/>
        </a:solidFill>
        <a:blipFill rotWithShape="1">
          <a:blip xmlns:r="http://schemas.openxmlformats.org/officeDocument/2006/relationships" r:embed="rId1">
            <a:duotone>
              <a:schemeClr val="phClr"/>
              <a:schemeClr val="phClr">
                <a:shade val="91000"/>
                <a:satMod val="105000"/>
              </a:schemeClr>
            </a:duotone>
          </a:blip>
          <a:tile tx="0" ty="0" sx="100000" sy="100000" flip="none" algn="tl"/>
        </a:blipFill>
        <a:gradFill rotWithShape="1">
          <a:gsLst>
            <a:gs pos="0">
              <a:schemeClr val="phClr">
                <a:tint val="100000"/>
                <a:shade val="0"/>
                <a:satMod val="100000"/>
              </a:schemeClr>
            </a:gs>
            <a:gs pos="100000">
              <a:schemeClr val="phClr">
                <a:shade val="100000"/>
                <a:satMod val="100000"/>
              </a:schemeClr>
            </a:gs>
          </a:gsLst>
          <a:lin ang="5400000" scaled="0"/>
        </a:gradFill>
      </a:bgFillStyleLst>
    </a:fmtScheme>
  </a:themeElements>
  <a:objectDefaults/>
  <a:extraClrSchemeLst/>
  <a:extLst>
    <a:ext uri="{05A4C25C-085E-4340-85A3-A5531E510DB2}">
      <thm15:themeFamily xmlns:thm15="http://schemas.microsoft.com/office/thememl/2012/main" name="Banded" id="{98DFF888-2449-4D28-977C-6306C017633E}" vid="{9792607F-9579-4224-82FF-9C88C3E1E53D}"/>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SelectedStyle="\HarvardAnglia2008OfficeOnline.xsl" StyleName="Harvard - Anglia" Version="2008"/>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A52DCCA-F6D0-43BB-9590-FA22FF9775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42</Pages>
  <Words>9048</Words>
  <Characters>51578</Characters>
  <Application>Microsoft Office Word</Application>
  <DocSecurity>0</DocSecurity>
  <Lines>429</Lines>
  <Paragraphs>121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60505</CharactersWithSpaces>
  <SharedDoc>false</SharedDoc>
  <HyperlinkBase>https://www.kingqueen.org.uk/s167</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Licensing authorities' approach to the Equality Act 2010 provsions on taxi wheelchair discrimination</dc:subject>
  <dc:creator/>
  <cp:keywords/>
  <dc:description>Final version as of 27th April 2018</dc:description>
  <cp:lastModifiedBy/>
  <cp:revision>1</cp:revision>
  <dcterms:created xsi:type="dcterms:W3CDTF">2018-04-26T22:08:00Z</dcterms:created>
  <dcterms:modified xsi:type="dcterms:W3CDTF">2018-04-27T00:47:00Z</dcterms:modified>
  <cp:category/>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ies>
</file>